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>
      <w:pPr>
        <w:pStyle w:val="Heading"/>
      </w:pPr>
      <w:r>
        <w:rPr>
          <w:b/>
          <w:sz w:val="32"/>
          <w:rFonts w:ascii="Times New Roman" w:hAnsi="Times New Roman" w:cs="Times New Roman" w:eastAsia="標楷體" w:hint="eastAsia"/>
        </w:rPr>
        <w:t>智慧誘捕籠：剪耳辨識</w:t>
      </w:r>
    </w:p>
    <w:p>
      <w:pPr>
        <w:pStyle w:val="Authors"/>
      </w:pPr>
      <w:r>
        <w:rPr>
          <w:b w:val="0"/>
          <w:rFonts w:ascii="Times New Roman" w:hAnsi="Times New Roman" w:cs="Times New Roman" w:eastAsia="標楷體" w:hint="eastAsia"/>
        </w:rPr>
        <w:t>朝陽科技大學　[學號]　[姓名]</w:t>
      </w:r>
    </w:p>
    <w:p>
      <w:pPr>
        <w:pStyle w:val="Authors"/>
      </w:pPr>
      <w:r>
        <w:rPr>
          <w:b w:val="0"/>
          <w:rFonts w:ascii="Times New Roman" w:hAnsi="Times New Roman" w:cs="Times New Roman" w:eastAsia="標楷體" w:hint="eastAsia"/>
        </w:rPr>
        <w:t>[組員 2／學校／學號／姓名]　　[組員 3]　　[組員 4]</w:t>
      </w:r>
    </w:p>
    <w:p>
      <w:pPr>
        <w:sectPr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/>
          <w:pgMar w:top="1440" w:right="902" w:bottom="1622" w:left="1440" w:header="431" w:footer="431" w:gutter="0"/>
          <w:cols w:num="1" w:space="544" w:equalWidth="1"/>
          <w:docGrid w:linePitch="360"/>
        </w:sectPr>
      </w:pPr>
    </w:p>
    <w:p>
      <w:pPr>
        <w:pStyle w:val="Text"/>
        <w:spacing w:before="100" w:after="40"/>
        <w:ind w:firstLine="0"/>
      </w:pPr>
      <w:r>
        <w:rPr>
          <w:b/>
          <w:sz w:val="22"/>
          <w:rFonts w:ascii="Times New Roman" w:hAnsi="Times New Roman" w:cs="Times New Roman" w:eastAsia="標楷體" w:hint="eastAsia"/>
        </w:rPr>
        <w:t>摘要</w:t>
      </w:r>
    </w:p>
    <w:p>
      <w:pPr>
        <w:pStyle w:val="Abstract"/>
      </w:pPr>
      <w:r>
        <w:rPr>
          <w:b w:val="0"/>
          <w:rFonts w:ascii="Times New Roman" w:hAnsi="Times New Roman" w:cs="Times New Roman" w:eastAsia="標楷體" w:hint="eastAsia"/>
        </w:rPr>
        <w:t>本團隊已建置一套智慧誘捕籠原型：貓進入籠內後，裝置以籠內相機逐幀拍攝，在微控制器上直接辨識貓臉與兩隻耳朵，判斷耳尖是否被剪除，並據此自主決定是否關閉閘門。此一判斷的用途在於 TNR（捕捉—絕育—回置）——已完成絕育的貓會被剪除單側耳尖作為標記，而傳統誘捕籠不分辨這個標記，凡進入籠內的動物一律捕獲。原型目前已於實際場域運作，實地資料顯示判定成功率仍不足，且限制主要不在模型本身，而在可用的影像太少。本專題擬從模型訓練方式、判定條件設計與影像取得條件三個環節改良，以提高可用影像的比例，並使每一次判定具備可追溯的依據。</w:t>
      </w:r>
    </w:p>
    <w:p>
      <w:pPr>
        <w:pStyle w:val="Text"/>
        <w:spacing w:before="100" w:after="40"/>
        <w:ind w:firstLine="0"/>
      </w:pPr>
      <w:r>
        <w:rPr>
          <w:b/>
          <w:sz w:val="22"/>
          <w:rFonts w:ascii="Times New Roman" w:hAnsi="Times New Roman" w:cs="Times New Roman" w:eastAsia="標楷體" w:hint="eastAsia"/>
        </w:rPr>
        <w:t>1. 前言</w:t>
      </w:r>
    </w:p>
    <w:p>
      <w:pPr>
        <w:jc w:val="center"/>
      </w:pPr>
      <w:r>
        <w:rPr>
          <w:rFonts w:ascii="Times New Roman" w:hAnsi="Times New Roman" w:cs="Times New Roman" w:eastAsia="標楷體" w:hint="eastAsia"/>
        </w:rPr>
        <w:drawing>
          <wp:inline xmlns:a="http://schemas.openxmlformats.org/drawingml/2006/main" xmlns:pic="http://schemas.openxmlformats.org/drawingml/2006/picture">
            <wp:extent cx="2843784" cy="175295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ar_zh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843784" cy="175295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</w:pPr>
      <w:r>
        <w:rPr>
          <w:rFonts w:ascii="Times New Roman" w:hAnsi="Times New Roman" w:cs="Times New Roman" w:eastAsia="標楷體" w:hint="eastAsia"/>
        </w:rPr>
        <w:t>圖 1. 剪耳標記之實拍對照。TNR 僅剪除單側耳尖，同一個體必然一耳完整、一耳平截；差異僅在耳尖數公分的輪廓，即本專題須自動辨識的目標。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研究動機。</w:t>
      </w:r>
      <w:r>
        <w:rPr>
          <w:b w:val="0"/>
          <w:rFonts w:ascii="Times New Roman" w:hAnsi="Times New Roman" w:cs="Times New Roman" w:eastAsia="標楷體" w:hint="eastAsia"/>
        </w:rPr>
        <w:t>臺灣自 2017 年停止以安樂死作為族群控制手段後，收容所容量即成為主要限制 [1]，降低繁殖率遂成為主要管理途徑。TNR 是現有文獻中研究最完整、對族群規模影響最明確的介入方式 [2]，其成效取決於能否捕獲未絕育的個體，而現場唯一可用的辨識依據是耳尖是否被剪除（圖 1）[3]。傳統誘捕籠僅能觸發關門，凡進入籠內的動物均會被捕獲；於持續實施 TNR 的區域，已絕育比例逐年累積，本團隊實測場域約八成個體已絕育，多數捕獲因而是重複捕獲，耗費人力並使動物承受不必要的緊迫。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系統概觀。</w:t>
      </w:r>
      <w:r>
        <w:rPr>
          <w:b w:val="0"/>
          <w:rFonts w:ascii="Times New Roman" w:hAnsi="Times New Roman" w:cs="Times New Roman" w:eastAsia="標楷體" w:hint="eastAsia"/>
        </w:rPr>
        <w:t>本團隊已建置的原型以市售誘捕籠為基礎（圖 2）：籠體末端裝設一個控制盒，內含相機與微控制器等級的運算單元；籠口的閘門改為可由裝置自動開關。裝置以電池供電，可獨立放置於戶外；辨識與判定都在裝置上完成，不需要連線到伺服器。另以感測器偵測動物是否進入籠內，作為啟動辨識與關閉閘門的依據。</w:t>
      </w:r>
    </w:p>
    <w:p>
      <w:pPr>
        <w:jc w:val="center"/>
      </w:pPr>
      <w:r>
        <w:rPr>
          <w:rFonts w:ascii="Times New Roman" w:hAnsi="Times New Roman" w:cs="Times New Roman" w:eastAsia="標楷體" w:hint="eastAsia"/>
        </w:rPr>
        <w:drawing>
          <wp:inline xmlns:a="http://schemas.openxmlformats.org/drawingml/2006/main" xmlns:pic="http://schemas.openxmlformats.org/drawingml/2006/picture">
            <wp:extent cx="2843784" cy="2054477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evice_zh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843784" cy="205447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</w:pPr>
      <w:r>
        <w:rPr>
          <w:rFonts w:ascii="Times New Roman" w:hAnsi="Times New Roman" w:cs="Times New Roman" w:eastAsia="標楷體" w:hint="eastAsia"/>
        </w:rPr>
        <w:t>圖 2. 實機外觀。原型以市售誘捕籠為基礎，於籠體末端加裝控制盒，閘門改為可自動開關。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運作方式。</w:t>
      </w:r>
      <w:r>
        <w:rPr>
          <w:b w:val="0"/>
          <w:rFonts w:ascii="Times New Roman" w:hAnsi="Times New Roman" w:cs="Times New Roman" w:eastAsia="標楷體" w:hint="eastAsia"/>
        </w:rPr>
        <w:t>一次完整的流程如圖 3：動物進入籠內後，裝置開始逐幀拍攝，辨識畫面中的貓臉與兩隻耳朵；若判定耳尖已被剪除，代表該個體已完成絕育，閘門保持開啟讓牠離開；若判定未剪耳，才關閉閘門將其留置。判定過程中的影像與結果都會保存下來，供事後複核。</w:t>
      </w:r>
    </w:p>
    <w:p>
      <w:pPr>
        <w:jc w:val="center"/>
      </w:pPr>
      <w:r>
        <w:rPr>
          <w:rFonts w:ascii="Times New Roman" w:hAnsi="Times New Roman" w:cs="Times New Roman" w:eastAsia="標楷體" w:hint="eastAsia"/>
        </w:rPr>
        <w:drawing>
          <wp:inline xmlns:a="http://schemas.openxmlformats.org/drawingml/2006/main" xmlns:pic="http://schemas.openxmlformats.org/drawingml/2006/picture">
            <wp:extent cx="2843784" cy="194031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low_zh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2843784" cy="19403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</w:pPr>
      <w:r>
        <w:rPr>
          <w:rFonts w:ascii="Times New Roman" w:hAnsi="Times New Roman" w:cs="Times New Roman" w:eastAsia="標楷體" w:hint="eastAsia"/>
        </w:rPr>
        <w:t>圖 3. 系統運作流程。辨識與判定全部在裝置端完成，不依賴連線。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問題定義。</w:t>
      </w:r>
      <w:r>
        <w:rPr>
          <w:b w:val="0"/>
          <w:rFonts w:ascii="Times New Roman" w:hAnsi="Times New Roman" w:cs="Times New Roman" w:eastAsia="標楷體" w:hint="eastAsia"/>
        </w:rPr>
        <w:t>原型於場域運作後顯現三項限制。第一，判定條件過於單純，只比對偵測結果的數量，未檢查影像本身是否合理，因此在證據不足的情況下仍會作成判定。第二，模型以單階段訓練取得，未針對籠內的拍攝條件調整。第三，相機與飼料的位置重疊，貓進食時頭部貼近鏡頭，實際拍得到正臉的時間極短（圖 4），多數影像無法作為判定的依據。三者之中，第三項的影響最大。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現有方法與本專題範圍。</w:t>
      </w:r>
      <w:r>
        <w:rPr>
          <w:b w:val="0"/>
          <w:rFonts w:ascii="Times New Roman" w:hAnsi="Times New Roman" w:cs="Times New Roman" w:eastAsia="標楷體" w:hint="eastAsia"/>
        </w:rPr>
        <w:t>既有智慧誘捕籠的研究著眼於物種層級的區分 [5]，而本專題要區分的兩類是同一物種的兩種狀態，差異僅在數公分的耳廓輪廓；運算位置的配置雖已有延遲與能耗方面的研究 [4]，惟多假設偵測器的輸出可直接據以行動，未處理「裝置本身證據不足時應如何反應」。硬體、韌體與門控機構已完成建置並於場域運作，不在本專題範圍內；本專題處理模型訓練方式、判定條件與影像取得條件三者，皆以既有裝置與既有資料改良，不新增硬體。</w:t>
      </w:r>
    </w:p>
    <w:p>
      <w:pPr>
        <w:pStyle w:val="Text"/>
        <w:spacing w:before="100" w:after="40"/>
        <w:ind w:firstLine="0"/>
      </w:pPr>
      <w:r>
        <w:rPr>
          <w:b/>
          <w:sz w:val="22"/>
          <w:rFonts w:ascii="Times New Roman" w:hAnsi="Times New Roman" w:cs="Times New Roman" w:eastAsia="標楷體" w:hint="eastAsia"/>
        </w:rPr>
        <w:t>2. 方法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2.1. 模型訓練。</w:t>
      </w:r>
      <w:r>
        <w:rPr>
          <w:b w:val="0"/>
          <w:rFonts w:ascii="Times New Roman" w:hAnsi="Times New Roman" w:cs="Times New Roman" w:eastAsia="標楷體" w:hint="eastAsia"/>
        </w:rPr>
        <w:t>改採兩階段遷移學習：第一階段以通用貓隻影像學習貓臉與耳朵的一般特徵，第二階段再以誘捕籠內實際拍攝的場域影像微調，使模型適應部署環境的角度、光線與距離。場域資料量不足以單獨訓練出穩定的表示，通用資料則不含籠內的拍攝條件，故須分階段使用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2.2. 資料增強。</w:t>
      </w:r>
      <w:r>
        <w:rPr>
          <w:b w:val="0"/>
          <w:rFonts w:ascii="Times New Roman" w:hAnsi="Times New Roman" w:cs="Times New Roman" w:eastAsia="標楷體" w:hint="eastAsia"/>
        </w:rPr>
        <w:t>剪耳樣本在數量上結構性地少於未剪耳，本專題將於訓練過程中施加資料增強以補償，並以增強前後的逐類別精度，檢驗其對剪耳類別是否確有助益。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2.3. 判定條件。</w:t>
      </w:r>
      <w:r>
        <w:rPr>
          <w:b w:val="0"/>
          <w:rFonts w:ascii="Times New Roman" w:hAnsi="Times New Roman" w:cs="Times New Roman" w:eastAsia="標楷體" w:hint="eastAsia"/>
        </w:rPr>
        <w:t>以結構化的檢查條件取代目前單純的數量比對：每一幀影像須先通過一組合理性檢查，才能成為判定的依據；未通過者標示為「不可用」並記錄未通過的原因，而不是逕行納入判定。此一分離使系統得以區辨「影像不足以判定」與「影像足夠但未觀察到剪耳」兩種情形——前者應當不動作，後者才是真正的判定結果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2.4. 影像取得條件。</w:t>
      </w:r>
      <w:r>
        <w:rPr>
          <w:b w:val="0"/>
          <w:rFonts w:ascii="Times New Roman" w:hAnsi="Times New Roman" w:cs="Times New Roman" w:eastAsia="標楷體" w:hint="eastAsia"/>
        </w:rPr>
        <w:t>依實地資料重新配置相機與飼料的相對位置，使貓在進食期間能被拍到正面的臉與兩隻耳朵。此項與籠體設計一併進行，是三項改良中成本最低、影響範圍最大的一項。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2.5. 評估方式。</w:t>
      </w:r>
      <w:r>
        <w:rPr>
          <w:b w:val="0"/>
          <w:rFonts w:ascii="Times New Roman" w:hAnsi="Times New Roman" w:cs="Times New Roman" w:eastAsia="標楷體" w:hint="eastAsia"/>
        </w:rPr>
        <w:t>逐幀記錄推論結果與各項檢查的通過與否，據此計算可用影像的比例、各項檢查的拒絕分布，以及逐類別的召回率。第二項尤為關鍵：拒絕若主要來自信心不足，問題在模型；若主要來自影像結構，問題在拍攝配置，兩者的改善方向完全不同。</w:t>
      </w:r>
    </w:p>
    <w:p>
      <w:pPr>
        <w:pStyle w:val="Text"/>
      </w:pPr>
      <w:r>
        <w:rPr>
          <w:b/>
          <w:rFonts w:ascii="Times New Roman" w:hAnsi="Times New Roman" w:cs="Times New Roman" w:eastAsia="標楷體" w:hint="eastAsia"/>
        </w:rPr>
        <w:t>2.6. 部署限制。</w:t>
      </w:r>
      <w:r>
        <w:rPr>
          <w:b w:val="0"/>
          <w:rFonts w:ascii="Times New Roman" w:hAnsi="Times New Roman" w:cs="Times New Roman" w:eastAsia="標楷體" w:hint="eastAsia"/>
        </w:rPr>
        <w:t>所有改良皆須能在既有的微控制器上執行，判定邏輯須能以既有的韌體結構實作。任何無法滿足此條件的方案，即使離線評估表現較佳，亦不納入。</w:t>
      </w:r>
    </w:p>
    <w:p>
      <w:pPr>
        <w:pStyle w:val="Text"/>
        <w:spacing w:before="100" w:after="40"/>
        <w:ind w:firstLine="0"/>
      </w:pPr>
      <w:r>
        <w:rPr>
          <w:b/>
          <w:sz w:val="22"/>
          <w:rFonts w:ascii="Times New Roman" w:hAnsi="Times New Roman" w:cs="Times New Roman" w:eastAsia="標楷體" w:hint="eastAsia"/>
        </w:rPr>
        <w:t>3. 預期結果</w:t>
      </w:r>
    </w:p>
    <w:p>
      <w:pPr>
        <w:jc w:val="center"/>
      </w:pPr>
      <w:r>
        <w:rPr>
          <w:rFonts w:ascii="Times New Roman" w:hAnsi="Times New Roman" w:cs="Times New Roman" w:eastAsia="標楷體" w:hint="eastAsia"/>
        </w:rPr>
        <w:drawing>
          <wp:inline xmlns:a="http://schemas.openxmlformats.org/drawingml/2006/main" xmlns:pic="http://schemas.openxmlformats.org/drawingml/2006/picture">
            <wp:extent cx="2843784" cy="254686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7-5_window_sequence_v2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43784" cy="25468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FigureCaption"/>
      </w:pPr>
      <w:r>
        <w:rPr>
          <w:b w:val="0"/>
          <w:rFonts w:ascii="Times New Roman" w:hAnsi="Times New Roman" w:cs="Times New Roman" w:eastAsia="標楷體" w:hint="eastAsia"/>
        </w:rPr>
        <w:t>圖 4. 一次進籠的完整影像序列（九張）。九張中只有一張可作為判定的依據，其餘或因影像結構不合理、或因動物貼近鏡頭而完全沒有偵測結果。這就是本專題要改善的對象。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1325"/>
        <w:gridCol w:w="1670"/>
        <w:gridCol w:w="1829"/>
      </w:tblGrid>
      <w:tr>
        <w:tc>
          <w:tcPr>
            <w:tcW w:type="dxa" w:w="1325"/>
          </w:tcPr>
          <w:p>
            <w:r>
              <w:rPr>
                <w:b/>
                <w:sz w:val="16"/>
                <w:rFonts w:ascii="Times New Roman" w:hAnsi="Times New Roman" w:cs="Times New Roman" w:eastAsia="標楷體" w:hint="eastAsia"/>
              </w:rPr>
              <w:t>項目</w:t>
            </w:r>
            <w:r>
              <w:rPr>
                <w:b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670"/>
          </w:tcPr>
          <w:p>
            <w:r>
              <w:rPr>
                <w:b/>
                <w:sz w:val="16"/>
                <w:rFonts w:ascii="Times New Roman" w:hAnsi="Times New Roman" w:cs="Times New Roman" w:eastAsia="標楷體" w:hint="eastAsia"/>
              </w:rPr>
              <w:t>現行做法</w:t>
            </w:r>
            <w:r>
              <w:rPr>
                <w:b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829"/>
          </w:tcPr>
          <w:p>
            <w:r>
              <w:rPr>
                <w:b/>
                <w:sz w:val="16"/>
                <w:rFonts w:ascii="Times New Roman" w:hAnsi="Times New Roman" w:cs="Times New Roman" w:eastAsia="標楷體" w:hint="eastAsia"/>
              </w:rPr>
              <w:t>本專題目標</w:t>
            </w:r>
            <w:r>
              <w:rPr>
                <w:b/>
                <w:sz w:val="16"/>
                <w:rFonts w:ascii="Times New Roman" w:hAnsi="Times New Roman" w:cs="Times New Roman" w:eastAsia="標楷體" w:hint="eastAsia"/>
              </w:rPr>
            </w:r>
          </w:p>
        </w:tc>
      </w:tr>
      <w:tr>
        <w:tc>
          <w:tcPr>
            <w:tcW w:type="dxa" w:w="1325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判定依據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670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偵測結果的數量比對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829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結構化檢查條件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</w:tr>
      <w:tr>
        <w:tc>
          <w:tcPr>
            <w:tcW w:type="dxa" w:w="1325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不可用影像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670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無法辨識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829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標示並記錄原因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</w:tr>
      <w:tr>
        <w:tc>
          <w:tcPr>
            <w:tcW w:type="dxa" w:w="1325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訓練方式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670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單階段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829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兩階段遷移學習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</w:tr>
      <w:tr>
        <w:tc>
          <w:tcPr>
            <w:tcW w:type="dxa" w:w="1325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影像取得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670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相機與飼料同位置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  <w:tc>
          <w:tcPr>
            <w:tcW w:type="dxa" w:w="1829"/>
          </w:tcPr>
          <w:p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  <w:t>依實地資料重新配置</w:t>
            </w:r>
            <w:r>
              <w:rPr>
                <w:b w:val="0"/>
                <w:sz w:val="16"/>
                <w:rFonts w:ascii="Times New Roman" w:hAnsi="Times New Roman" w:cs="Times New Roman" w:eastAsia="標楷體" w:hint="eastAsia"/>
              </w:rPr>
            </w:r>
          </w:p>
        </w:tc>
      </w:tr>
    </w:tbl>
    <w:p>
      <w:pPr>
        <w:pStyle w:val="FigureCaption"/>
      </w:pPr>
      <w:r>
        <w:rPr>
          <w:b w:val="0"/>
          <w:rFonts w:ascii="Times New Roman" w:hAnsi="Times New Roman" w:cs="Times New Roman" w:eastAsia="標楷體" w:hint="eastAsia"/>
        </w:rPr>
        <w:t>表 1. 現行做法與本專題目標之對照。</w:t>
      </w:r>
    </w:p>
    <w:p>
      <w:pPr>
        <w:pStyle w:val="Text"/>
      </w:pPr>
      <w:r>
        <w:rPr>
          <w:b w:val="0"/>
          <w:rFonts w:ascii="Times New Roman" w:hAnsi="Times New Roman" w:cs="Times New Roman" w:eastAsia="標楷體" w:hint="eastAsia"/>
        </w:rPr>
        <w:t>評估將以逐類別召回率呈現，而非整體正確率：在已絕育約佔八成的場域，「一律判為已絕育」即可得約八成正確率，該數字不具參考價值。預期產出有三：可用影像比例的提升幅度、各項檢查的拒絕分布，以及剪耳類別在改良前後的精度變化。負面結果仍屬可能，但拒絕分布仍可指出瓶頸所在，此即本專題的實質貢獻。</w:t>
      </w:r>
    </w:p>
    <w:p>
      <w:pPr>
        <w:pStyle w:val="Text"/>
        <w:spacing w:before="100" w:after="40"/>
        <w:ind w:firstLine="0"/>
      </w:pPr>
      <w:r>
        <w:rPr>
          <w:b/>
          <w:sz w:val="22"/>
          <w:rFonts w:ascii="Times New Roman" w:hAnsi="Times New Roman" w:cs="Times New Roman" w:eastAsia="標楷體" w:hint="eastAsia"/>
        </w:rPr>
        <w:t>參考文獻</w:t>
      </w:r>
    </w:p>
    <w:p>
      <w:pPr>
        <w:pStyle w:val="References"/>
      </w:pPr>
      <w:r>
        <w:rPr>
          <w:b w:val="0"/>
          <w:rFonts w:ascii="Times New Roman" w:hAnsi="Times New Roman" w:cs="Times New Roman" w:eastAsia="標楷體" w:hint="eastAsia"/>
        </w:rPr>
        <w:t>Yan, T.-Y., and Teng, K. T.-y. Trends in animal shelter management, adoption, and animal death in Taiwan from 2012 to 2020. Animals, 13:1451, 2023.</w:t>
      </w:r>
    </w:p>
    <w:p>
      <w:pPr>
        <w:pStyle w:val="References"/>
      </w:pPr>
      <w:r>
        <w:rPr>
          <w:b w:val="0"/>
          <w:rFonts w:ascii="Times New Roman" w:hAnsi="Times New Roman" w:cs="Times New Roman" w:eastAsia="標楷體" w:hint="eastAsia"/>
        </w:rPr>
        <w:t>Smith, L. M., Hartmann, S., Munteanu, A. M., Dalla Villa, P., Quinnell, R. J., and Collins, L. M. The effectiveness of dog population management: A systematic review. Animals, 9:1020, 2019.</w:t>
      </w:r>
    </w:p>
    <w:p>
      <w:pPr>
        <w:pStyle w:val="References"/>
      </w:pPr>
      <w:r>
        <w:rPr>
          <w:b w:val="0"/>
          <w:rFonts w:ascii="Times New Roman" w:hAnsi="Times New Roman" w:cs="Times New Roman" w:eastAsia="標楷體" w:hint="eastAsia"/>
        </w:rPr>
        <w:t>Agriculture Knowledge Portal, Taiwan. Introduction to TNR. 2020.</w:t>
      </w:r>
    </w:p>
    <w:p>
      <w:pPr>
        <w:pStyle w:val="References"/>
      </w:pPr>
      <w:r>
        <w:rPr>
          <w:b w:val="0"/>
          <w:rFonts w:ascii="Times New Roman" w:hAnsi="Times New Roman" w:cs="Times New Roman" w:eastAsia="標楷體" w:hint="eastAsia"/>
        </w:rPr>
        <w:t>Koubaa, A., Ammar, A., Alahdab, M., Kanhouch, A., and Azar, A. T. DeepBrain: Experimental evaluation of cloud-based computation offloading and edge computing in the Internet-of-Drones for deep learning applications. Sensors, 20:5240, 2020.</w:t>
      </w:r>
    </w:p>
    <w:p>
      <w:pPr>
        <w:pStyle w:val="References"/>
      </w:pPr>
      <w:r>
        <w:rPr>
          <w:b w:val="0"/>
          <w:rFonts w:ascii="Times New Roman" w:hAnsi="Times New Roman" w:cs="Times New Roman" w:eastAsia="標楷體" w:hint="eastAsia"/>
        </w:rPr>
        <w:t>Besala, F. I., Niimoto, R., Lee, J. H., and Okamoto, S. Development of AI-based smart box trap system for capturing a harmful wild boar. ROBOMECH Journal, 12:4, 2025.</w:t>
      </w:r>
    </w:p>
    <w:sectPr w:rsidR="00F66F7E" w:rsidSect="005D61CD">
      <w:type w:val="continuous"/>
      <w:pgSz w:w="12240" w:h="15840"/>
      <w:pgMar w:top="1440" w:right="902" w:bottom="1622" w:left="1440" w:header="431" w:footer="431" w:gutter="0"/>
      <w:cols w:num="2" w:space="544" w:equalWidth="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85A45" w14:textId="77777777" w:rsidR="001E191E" w:rsidRDefault="001E191E">
      <w:r>
        <w:separator/>
      </w:r>
    </w:p>
  </w:endnote>
  <w:endnote w:type="continuationSeparator" w:id="0">
    <w:p w14:paraId="3A2EEE16" w14:textId="77777777" w:rsidR="001E191E" w:rsidRDefault="001E1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ngal">
    <w:panose1 w:val="00000400000000000000"/>
    <w:charset w:val="01"/>
    <w:family w:val="roman"/>
    <w:pitch w:val="variable"/>
    <w:sig w:usb0="0000A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">
    <w:altName w:val="Courier New"/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F65211" w14:textId="77777777" w:rsidR="00737598" w:rsidRDefault="00737598">
    <w:pPr>
      <w:pStyle w:val="ac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629C1" w14:textId="77777777" w:rsidR="00737598" w:rsidRDefault="00737598">
    <w:pPr>
      <w:pStyle w:val="ac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79023" w14:textId="77777777" w:rsidR="00737598" w:rsidRDefault="00737598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4D1955" w14:textId="77777777" w:rsidR="001E191E" w:rsidRDefault="001E191E">
      <w:r>
        <w:separator/>
      </w:r>
    </w:p>
  </w:footnote>
  <w:footnote w:type="continuationSeparator" w:id="0">
    <w:p w14:paraId="19D216B7" w14:textId="77777777" w:rsidR="001E191E" w:rsidRDefault="001E191E">
      <w:r>
        <w:continuationSeparator/>
      </w:r>
    </w:p>
  </w:footnote>
  <w:footnote w:id="1">
    <w:p w14:paraId="488C6C37" w14:textId="77777777" w:rsidR="00F66F7E" w:rsidRDefault="00F66F7E">
      <w:pPr>
        <w:pStyle w:val="ab"/>
      </w:pPr>
      <w:r>
        <w:rPr>
          <w:rStyle w:val="FootnoteCharacters"/>
        </w:rPr>
        <w:footnoteRef/>
      </w:r>
      <w:r>
        <w:tab/>
        <w:t xml:space="preserve"> This is what a footnote looks like. It </w:t>
      </w:r>
      <w:r>
        <w:rPr>
          <w:rStyle w:val="a5"/>
        </w:rPr>
        <w:t>often distracts the reader from</w:t>
      </w:r>
      <w:r>
        <w:t xml:space="preserve"> the main flow of the argument.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D06FED" w14:textId="77777777" w:rsidR="0037698C" w:rsidRDefault="0037698C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00DF1" w14:textId="77777777" w:rsidR="00737598" w:rsidRDefault="00737598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C2969" w14:textId="77777777" w:rsidR="0037698C" w:rsidRDefault="0037698C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2234A0D4"/>
    <w:name w:val="WW8Num1"/>
    <w:lvl w:ilvl="0">
      <w:start w:val="1"/>
      <w:numFmt w:val="decimal"/>
      <w:pStyle w:val="1"/>
      <w:suff w:val="space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decimal"/>
      <w:pStyle w:val="2"/>
      <w:suff w:val="space"/>
      <w:lvlText w:val="%1.%2."/>
      <w:lvlJc w:val="left"/>
      <w:pPr>
        <w:tabs>
          <w:tab w:val="num" w:pos="0"/>
        </w:tabs>
        <w:ind w:left="576" w:hanging="576"/>
      </w:pPr>
      <w:rPr>
        <w:b/>
        <w:bCs/>
        <w:sz w:val="22"/>
        <w:szCs w:val="22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singleLevel"/>
    <w:tmpl w:val="00000003"/>
    <w:name w:val="WW8Num7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bordersDoNotSurroundHeader/>
  <w:bordersDoNotSurroundFooter/>
  <w:proofState w:spelling="clean" w:grammar="clean"/>
  <w:defaultTabStop w:val="202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F40"/>
    <w:rsid w:val="000534E2"/>
    <w:rsid w:val="000C0414"/>
    <w:rsid w:val="000F6CAE"/>
    <w:rsid w:val="00104664"/>
    <w:rsid w:val="00191877"/>
    <w:rsid w:val="001C7E11"/>
    <w:rsid w:val="001E191E"/>
    <w:rsid w:val="00241835"/>
    <w:rsid w:val="002477B7"/>
    <w:rsid w:val="00251F16"/>
    <w:rsid w:val="002B6BFC"/>
    <w:rsid w:val="002C1FC7"/>
    <w:rsid w:val="002E3D6A"/>
    <w:rsid w:val="002F05C3"/>
    <w:rsid w:val="003142D9"/>
    <w:rsid w:val="00354D6B"/>
    <w:rsid w:val="0037698C"/>
    <w:rsid w:val="003E3A46"/>
    <w:rsid w:val="00437C99"/>
    <w:rsid w:val="00484418"/>
    <w:rsid w:val="004E0E37"/>
    <w:rsid w:val="00526C9E"/>
    <w:rsid w:val="00532EAA"/>
    <w:rsid w:val="00587C02"/>
    <w:rsid w:val="005D61CD"/>
    <w:rsid w:val="0066092D"/>
    <w:rsid w:val="00672C7C"/>
    <w:rsid w:val="006751AB"/>
    <w:rsid w:val="006C00F0"/>
    <w:rsid w:val="00725BAB"/>
    <w:rsid w:val="00727A47"/>
    <w:rsid w:val="0073244D"/>
    <w:rsid w:val="00737598"/>
    <w:rsid w:val="0075435D"/>
    <w:rsid w:val="00764B5B"/>
    <w:rsid w:val="007B2BB8"/>
    <w:rsid w:val="00802680"/>
    <w:rsid w:val="00825CB8"/>
    <w:rsid w:val="0082755C"/>
    <w:rsid w:val="00833AF4"/>
    <w:rsid w:val="00852F40"/>
    <w:rsid w:val="00884C38"/>
    <w:rsid w:val="00936E62"/>
    <w:rsid w:val="00955656"/>
    <w:rsid w:val="0095785C"/>
    <w:rsid w:val="00A54D8A"/>
    <w:rsid w:val="00A62E8F"/>
    <w:rsid w:val="00AC5631"/>
    <w:rsid w:val="00CB1912"/>
    <w:rsid w:val="00D01EE8"/>
    <w:rsid w:val="00D04357"/>
    <w:rsid w:val="00D60DE5"/>
    <w:rsid w:val="00D94115"/>
    <w:rsid w:val="00E55195"/>
    <w:rsid w:val="00E6288E"/>
    <w:rsid w:val="00E628D0"/>
    <w:rsid w:val="00E63A37"/>
    <w:rsid w:val="00E86551"/>
    <w:rsid w:val="00EB57C6"/>
    <w:rsid w:val="00F23DF3"/>
    <w:rsid w:val="00F658A1"/>
    <w:rsid w:val="00F66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7DBAFBBA"/>
  <w14:defaultImageDpi w14:val="300"/>
  <w15:chartTrackingRefBased/>
  <w15:docId w15:val="{A9AF6FDA-D048-C34C-81A1-8B806CF0A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等线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  <w:autoSpaceDE w:val="0"/>
    </w:pPr>
  </w:style>
  <w:style w:type="paragraph" w:styleId="1">
    <w:name w:val="heading 1"/>
    <w:basedOn w:val="a"/>
    <w:next w:val="a"/>
    <w:qFormat/>
    <w:pPr>
      <w:keepNext/>
      <w:numPr>
        <w:numId w:val="2"/>
      </w:numPr>
      <w:spacing w:before="240" w:after="80"/>
      <w:outlineLvl w:val="0"/>
    </w:pPr>
  </w:style>
  <w:style w:type="paragraph" w:styleId="2">
    <w:name w:val="heading 2"/>
    <w:basedOn w:val="a"/>
    <w:next w:val="a"/>
    <w:qFormat/>
    <w:pPr>
      <w:keepNext/>
      <w:numPr>
        <w:ilvl w:val="1"/>
        <w:numId w:val="2"/>
      </w:numPr>
      <w:spacing w:before="240" w:after="120"/>
      <w:ind w:left="578" w:hanging="578"/>
      <w:outlineLvl w:val="1"/>
    </w:pPr>
  </w:style>
  <w:style w:type="paragraph" w:styleId="3">
    <w:name w:val="heading 3"/>
    <w:basedOn w:val="a"/>
    <w:next w:val="a"/>
    <w:qFormat/>
    <w:pPr>
      <w:keepNext/>
      <w:numPr>
        <w:ilvl w:val="2"/>
        <w:numId w:val="2"/>
      </w:numPr>
      <w:outlineLvl w:val="2"/>
    </w:pPr>
    <w:rPr>
      <w:i/>
      <w:iCs/>
    </w:rPr>
  </w:style>
  <w:style w:type="paragraph" w:styleId="4">
    <w:name w:val="heading 4"/>
    <w:basedOn w:val="a"/>
    <w:next w:val="a"/>
    <w:qFormat/>
    <w:pPr>
      <w:keepNext/>
      <w:numPr>
        <w:ilvl w:val="3"/>
        <w:numId w:val="2"/>
      </w:numPr>
      <w:spacing w:before="240" w:after="60"/>
      <w:outlineLvl w:val="3"/>
    </w:pPr>
  </w:style>
  <w:style w:type="paragraph" w:styleId="5">
    <w:name w:val="heading 5"/>
    <w:basedOn w:val="a"/>
    <w:next w:val="a"/>
    <w:qFormat/>
    <w:pPr>
      <w:numPr>
        <w:ilvl w:val="4"/>
        <w:numId w:val="2"/>
      </w:numPr>
      <w:spacing w:before="240" w:after="60"/>
      <w:outlineLvl w:val="4"/>
    </w:pPr>
    <w:rPr>
      <w:sz w:val="18"/>
      <w:szCs w:val="18"/>
    </w:rPr>
  </w:style>
  <w:style w:type="paragraph" w:styleId="6">
    <w:name w:val="heading 6"/>
    <w:basedOn w:val="a"/>
    <w:next w:val="a"/>
    <w:qFormat/>
    <w:pPr>
      <w:numPr>
        <w:ilvl w:val="5"/>
        <w:numId w:val="2"/>
      </w:numPr>
      <w:spacing w:before="240" w:after="60"/>
      <w:outlineLvl w:val="5"/>
    </w:pPr>
  </w:style>
  <w:style w:type="paragraph" w:styleId="7">
    <w:name w:val="heading 7"/>
    <w:basedOn w:val="a"/>
    <w:next w:val="a"/>
    <w:qFormat/>
    <w:pPr>
      <w:numPr>
        <w:ilvl w:val="6"/>
        <w:numId w:val="2"/>
      </w:numPr>
      <w:spacing w:before="240" w:after="60"/>
      <w:outlineLvl w:val="6"/>
    </w:pPr>
    <w:rPr>
      <w:sz w:val="16"/>
      <w:szCs w:val="16"/>
    </w:rPr>
  </w:style>
  <w:style w:type="paragraph" w:styleId="8">
    <w:name w:val="heading 8"/>
    <w:basedOn w:val="a"/>
    <w:next w:val="a"/>
    <w:qFormat/>
    <w:pPr>
      <w:numPr>
        <w:ilvl w:val="7"/>
        <w:numId w:val="2"/>
      </w:numPr>
      <w:spacing w:before="240" w:after="60"/>
      <w:outlineLvl w:val="7"/>
    </w:pPr>
  </w:style>
  <w:style w:type="paragraph" w:styleId="9">
    <w:name w:val="heading 9"/>
    <w:basedOn w:val="a"/>
    <w:next w:val="a"/>
    <w:qFormat/>
    <w:pPr>
      <w:numPr>
        <w:ilvl w:val="8"/>
        <w:numId w:val="2"/>
      </w:numPr>
      <w:spacing w:before="240" w:after="60"/>
      <w:outlineLvl w:val="8"/>
    </w:pPr>
    <w:rPr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5z0">
    <w:name w:val="WW8Num5z0"/>
  </w:style>
  <w:style w:type="character" w:customStyle="1" w:styleId="WW8Num6z0">
    <w:name w:val="WW8Num6z0"/>
  </w:style>
  <w:style w:type="character" w:customStyle="1" w:styleId="WW8Num7z0">
    <w:name w:val="WW8Num7z0"/>
  </w:style>
  <w:style w:type="character" w:customStyle="1" w:styleId="WW8Num8z0">
    <w:name w:val="WW8Num8z0"/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0">
    <w:name w:val="WW8Num10z0"/>
  </w:style>
  <w:style w:type="character" w:customStyle="1" w:styleId="WW8Num11z0">
    <w:name w:val="WW8Num11z0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</w:style>
  <w:style w:type="character" w:customStyle="1" w:styleId="WW8Num13z0">
    <w:name w:val="WW8Num13z0"/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5z0">
    <w:name w:val="WW8Num15z0"/>
  </w:style>
  <w:style w:type="character" w:customStyle="1" w:styleId="WW8Num16z0">
    <w:name w:val="WW8Num16z0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0">
    <w:name w:val="WW8Num18z0"/>
  </w:style>
  <w:style w:type="character" w:customStyle="1" w:styleId="WW8Num19z0">
    <w:name w:val="WW8Num19z0"/>
  </w:style>
  <w:style w:type="character" w:customStyle="1" w:styleId="WW8Num19z1">
    <w:name w:val="WW8Num19z1"/>
  </w:style>
  <w:style w:type="character" w:customStyle="1" w:styleId="WW8Num19z2">
    <w:name w:val="WW8Num19z2"/>
  </w:style>
  <w:style w:type="character" w:customStyle="1" w:styleId="WW8Num19z3">
    <w:name w:val="WW8Num19z3"/>
  </w:style>
  <w:style w:type="character" w:customStyle="1" w:styleId="WW8Num19z4">
    <w:name w:val="WW8Num19z4"/>
  </w:style>
  <w:style w:type="character" w:customStyle="1" w:styleId="WW8Num19z5">
    <w:name w:val="WW8Num19z5"/>
  </w:style>
  <w:style w:type="character" w:customStyle="1" w:styleId="WW8Num19z6">
    <w:name w:val="WW8Num19z6"/>
  </w:style>
  <w:style w:type="character" w:customStyle="1" w:styleId="WW8Num19z7">
    <w:name w:val="WW8Num19z7"/>
  </w:style>
  <w:style w:type="character" w:customStyle="1" w:styleId="WW8Num19z8">
    <w:name w:val="WW8Num19z8"/>
  </w:style>
  <w:style w:type="character" w:customStyle="1" w:styleId="MemberType">
    <w:name w:val="MemberType"/>
  </w:style>
  <w:style w:type="character" w:customStyle="1" w:styleId="FootnoteCharacters">
    <w:name w:val="Footnote Characters"/>
    <w:rPr>
      <w:vertAlign w:val="superscript"/>
    </w:rPr>
  </w:style>
  <w:style w:type="character" w:styleId="a3">
    <w:name w:val="Hyperlink"/>
  </w:style>
  <w:style w:type="character" w:styleId="a4">
    <w:name w:val="FollowedHyperlink"/>
  </w:style>
  <w:style w:type="character" w:styleId="a5">
    <w:name w:val="page number"/>
    <w:basedOn w:val="a0"/>
  </w:style>
  <w:style w:type="character" w:customStyle="1" w:styleId="Heading1Char">
    <w:name w:val="Heading 1 Char"/>
  </w:style>
  <w:style w:type="character" w:customStyle="1" w:styleId="TextChar">
    <w:name w:val="Text Char"/>
  </w:style>
  <w:style w:type="character" w:styleId="a6">
    <w:name w:val="footnote reference"/>
    <w:rPr>
      <w:vertAlign w:val="superscript"/>
    </w:rPr>
  </w:style>
  <w:style w:type="character" w:styleId="a7">
    <w:name w:val="endnote reference"/>
    <w:rPr>
      <w:vertAlign w:val="superscript"/>
    </w:rPr>
  </w:style>
  <w:style w:type="character" w:customStyle="1" w:styleId="EndnoteCharacters">
    <w:name w:val="Endnote Characters"/>
  </w:style>
  <w:style w:type="paragraph" w:customStyle="1" w:styleId="Heading">
    <w:name w:val="Heading"/>
    <w:basedOn w:val="a"/>
    <w:next w:val="a"/>
    <w:pPr>
      <w:jc w:val="center"/>
    </w:pPr>
  </w:style>
  <w:style w:type="paragraph" w:styleId="a8">
    <w:name w:val="Body Text"/>
    <w:basedOn w:val="a"/>
    <w:pPr>
      <w:spacing w:after="140" w:line="288" w:lineRule="auto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next w:val="a"/>
    <w:qFormat/>
    <w:rPr>
      <w:b/>
      <w:bCs/>
    </w:rPr>
  </w:style>
  <w:style w:type="paragraph" w:customStyle="1" w:styleId="Index">
    <w:name w:val="Index"/>
    <w:basedOn w:val="a"/>
    <w:pPr>
      <w:suppressLineNumbers/>
    </w:pPr>
    <w:rPr>
      <w:rFonts w:cs="Mangal"/>
    </w:rPr>
  </w:style>
  <w:style w:type="paragraph" w:customStyle="1" w:styleId="Abstract">
    <w:name w:val="Abstract"/>
    <w:basedOn w:val="a"/>
    <w:next w:val="a"/>
    <w:pPr>
      <w:spacing w:before="20"/>
      <w:ind w:firstLine="202"/>
      <w:jc w:val="both"/>
    </w:pPr>
  </w:style>
  <w:style w:type="paragraph" w:customStyle="1" w:styleId="Authors">
    <w:name w:val="Authors"/>
    <w:basedOn w:val="a"/>
    <w:next w:val="a"/>
    <w:pPr>
      <w:spacing w:after="320"/>
      <w:jc w:val="center"/>
    </w:pPr>
    <w:rPr>
      <w:sz w:val="22"/>
      <w:szCs w:val="22"/>
    </w:rPr>
  </w:style>
  <w:style w:type="paragraph" w:styleId="ab">
    <w:name w:val="footnote text"/>
    <w:basedOn w:val="a"/>
    <w:pPr>
      <w:ind w:firstLine="202"/>
      <w:jc w:val="both"/>
    </w:pPr>
    <w:rPr>
      <w:sz w:val="16"/>
      <w:szCs w:val="16"/>
    </w:rPr>
  </w:style>
  <w:style w:type="paragraph" w:customStyle="1" w:styleId="References">
    <w:name w:val="References"/>
    <w:basedOn w:val="a"/>
    <w:pPr>
      <w:numPr>
        <w:numId w:val="3"/>
      </w:numPr>
      <w:jc w:val="both"/>
    </w:pPr>
    <w:rPr>
      <w:sz w:val="18"/>
      <w:szCs w:val="16"/>
    </w:rPr>
  </w:style>
  <w:style w:type="paragraph" w:customStyle="1" w:styleId="IndexTerms">
    <w:name w:val="IndexTerms"/>
    <w:basedOn w:val="a"/>
    <w:next w:val="a"/>
    <w:pPr>
      <w:ind w:firstLine="202"/>
      <w:jc w:val="both"/>
    </w:pPr>
  </w:style>
  <w:style w:type="paragraph" w:styleId="ac">
    <w:name w:val="footer"/>
    <w:basedOn w:val="a"/>
    <w:pPr>
      <w:tabs>
        <w:tab w:val="center" w:pos="4320"/>
        <w:tab w:val="right" w:pos="8640"/>
      </w:tabs>
    </w:pPr>
  </w:style>
  <w:style w:type="paragraph" w:customStyle="1" w:styleId="Text">
    <w:name w:val="Text"/>
    <w:basedOn w:val="a"/>
    <w:pPr>
      <w:widowControl w:val="0"/>
      <w:ind w:firstLine="204"/>
      <w:jc w:val="both"/>
    </w:pPr>
  </w:style>
  <w:style w:type="paragraph" w:customStyle="1" w:styleId="FigureCaption">
    <w:name w:val="Figure Caption"/>
    <w:basedOn w:val="a"/>
    <w:pPr>
      <w:jc w:val="both"/>
    </w:pPr>
    <w:rPr>
      <w:sz w:val="18"/>
      <w:szCs w:val="16"/>
    </w:rPr>
  </w:style>
  <w:style w:type="paragraph" w:customStyle="1" w:styleId="TableTitle">
    <w:name w:val="Table Title"/>
    <w:basedOn w:val="a"/>
    <w:pPr>
      <w:jc w:val="center"/>
    </w:pPr>
    <w:rPr>
      <w:smallCaps/>
      <w:sz w:val="16"/>
      <w:szCs w:val="16"/>
    </w:rPr>
  </w:style>
  <w:style w:type="paragraph" w:customStyle="1" w:styleId="ReferenceHead">
    <w:name w:val="Reference Head"/>
    <w:basedOn w:val="1"/>
    <w:pPr>
      <w:numPr>
        <w:numId w:val="0"/>
      </w:numPr>
    </w:pPr>
  </w:style>
  <w:style w:type="paragraph" w:styleId="ad">
    <w:name w:val="header"/>
    <w:basedOn w:val="a"/>
    <w:pPr>
      <w:tabs>
        <w:tab w:val="center" w:pos="4320"/>
        <w:tab w:val="right" w:pos="8640"/>
      </w:tabs>
    </w:pPr>
  </w:style>
  <w:style w:type="paragraph" w:customStyle="1" w:styleId="Equation">
    <w:name w:val="Equation"/>
    <w:basedOn w:val="a"/>
    <w:next w:val="a"/>
    <w:pPr>
      <w:widowControl w:val="0"/>
      <w:tabs>
        <w:tab w:val="right" w:pos="5040"/>
      </w:tabs>
      <w:spacing w:line="252" w:lineRule="auto"/>
      <w:jc w:val="both"/>
    </w:pPr>
  </w:style>
  <w:style w:type="paragraph" w:styleId="ae">
    <w:name w:val="Body Text Indent"/>
    <w:basedOn w:val="a"/>
    <w:pPr>
      <w:ind w:left="630" w:hanging="630"/>
    </w:pPr>
    <w:rPr>
      <w:szCs w:val="24"/>
    </w:rPr>
  </w:style>
  <w:style w:type="paragraph" w:customStyle="1" w:styleId="FrameContents">
    <w:name w:val="Frame Contents"/>
    <w:basedOn w:val="a"/>
  </w:style>
  <w:style w:type="paragraph" w:customStyle="1" w:styleId="TableContents">
    <w:name w:val="Table Contents"/>
    <w:basedOn w:val="a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E6288E"/>
    <w:rPr>
      <w:rFonts w:ascii="宋体" w:eastAsia="宋体"/>
      <w:sz w:val="18"/>
      <w:szCs w:val="18"/>
    </w:rPr>
  </w:style>
  <w:style w:type="character" w:customStyle="1" w:styleId="af0">
    <w:name w:val="批注框文本 字符"/>
    <w:link w:val="af"/>
    <w:uiPriority w:val="99"/>
    <w:semiHidden/>
    <w:rsid w:val="00E6288E"/>
    <w:rPr>
      <w:rFonts w:ascii="宋体" w:eastAsia="宋体"/>
      <w:sz w:val="18"/>
      <w:szCs w:val="18"/>
      <w:lang w:eastAsia="en-US"/>
    </w:rPr>
  </w:style>
  <w:style w:type="character" w:styleId="af1">
    <w:name w:val="Placeholder Text"/>
    <w:basedOn w:val="a0"/>
    <w:uiPriority w:val="99"/>
    <w:unhideWhenUsed/>
    <w:rsid w:val="00D01EE8"/>
    <w:rPr>
      <w:color w:val="808080"/>
    </w:rPr>
  </w:style>
  <w:style w:type="character" w:styleId="af2">
    <w:name w:val="Unresolved Mention"/>
    <w:basedOn w:val="a0"/>
    <w:uiPriority w:val="99"/>
    <w:semiHidden/>
    <w:unhideWhenUsed/>
    <w:rsid w:val="002C1FC7"/>
    <w:rPr>
      <w:color w:val="605E5C"/>
      <w:shd w:val="clear" w:color="auto" w:fill="E1DFDD"/>
    </w:rPr>
  </w:style>
  <w:style w:type="paragraph" w:styleId="af3">
    <w:name w:val="Normal (Web)"/>
    <w:basedOn w:val="a"/>
    <w:uiPriority w:val="99"/>
    <w:semiHidden/>
    <w:unhideWhenUsed/>
    <w:rsid w:val="002C1FC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673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18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41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89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68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99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840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24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19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35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44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091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82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3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164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348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8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144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18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747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78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930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63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77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80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241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648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1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220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423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  <w:pixelsPerInch w:val="72"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mailto:firstauthor@i1.org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firstauthor@i1.org" TargetMode="Externa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https://www.computer.org/about/contac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amitc.org/documents/mermin.pdf" TargetMode="External"/><Relationship Id="rId14" Type="http://schemas.openxmlformats.org/officeDocument/2006/relationships/footer" Target="footer2.xml"/><Relationship Id="rId19" Type="http://schemas.openxmlformats.org/officeDocument/2006/relationships/image" Target="media/image1.jpg"/><Relationship Id="rId20" Type="http://schemas.openxmlformats.org/officeDocument/2006/relationships/image" Target="media/image2.jpg"/><Relationship Id="rId21" Type="http://schemas.openxmlformats.org/officeDocument/2006/relationships/image" Target="media/image3.jpg"/><Relationship Id="rId22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2205</Words>
  <Characters>12572</Characters>
  <Application>Microsoft Office Word</Application>
  <DocSecurity>0</DocSecurity>
  <Lines>104</Lines>
  <Paragraphs>29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></vt:lpstr>
    </vt:vector>
  </TitlesOfParts>
  <Manager/>
  <Company/>
  <LinksUpToDate>false</LinksUpToDate>
  <CharactersWithSpaces>14748</CharactersWithSpaces>
  <SharedDoc>false</SharedDoc>
  <HyperlinkBase/>
  <HLinks>
    <vt:vector size="6" baseType="variant">
      <vt:variant>
        <vt:i4>6619256</vt:i4>
      </vt:variant>
      <vt:variant>
        <vt:i4>0</vt:i4>
      </vt:variant>
      <vt:variant>
        <vt:i4>0</vt:i4>
      </vt:variant>
      <vt:variant>
        <vt:i4>5</vt:i4>
      </vt:variant>
      <vt:variant>
        <vt:lpwstr>http://www.pamitc.org/documents/mermin.pdf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IEEE/CVF CVPR</dc:subject>
  <dc:creator/>
  <cp:keywords/>
  <dc:description/>
  <cp:lastModifiedBy>Wu Jianxin</cp:lastModifiedBy>
  <cp:revision>24</cp:revision>
  <cp:lastPrinted>2021-05-11T23:29:00Z</cp:lastPrinted>
  <dcterms:created xsi:type="dcterms:W3CDTF">2021-05-11T23:32:00Z</dcterms:created>
  <dcterms:modified xsi:type="dcterms:W3CDTF">2023-10-25T05:09:00Z</dcterms:modified>
  <cp:category/>
</cp:coreProperties>
</file>