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pPr>
        <w:pStyle w:val="Heading"/>
      </w:pPr>
      <w:r>
        <w:rPr>
          <w:b/>
          <w:rFonts w:eastAsia="新細明體" w:hint="eastAsia"/>
          <w:sz w:val="32"/>
        </w:rPr>
        <w:t>從固定門檻到效用導向代理人：邊緣運算剪耳辨識誘捕籠之不確定性感知捕獲決策</w:t>
      </w:r>
    </w:p>
    <w:p>
      <w:pPr>
        <w:pStyle w:val="Authors"/>
      </w:pPr>
      <w:r>
        <w:rPr>
          <w:b w:val="0"/>
        </w:rPr>
        <w:t>朝陽科技大學　[學號]　[姓名]</w:t>
      </w:r>
    </w:p>
    <w:p>
      <w:pPr>
        <w:pStyle w:val="Authors"/>
      </w:pPr>
      <w:r>
        <w:rPr>
          <w:b w:val="0"/>
        </w:rPr>
        <w:t>[組員 2／學校／學號／姓名]　　[組員 3]　　[組員 4]</w:t>
      </w:r>
    </w:p>
    <w:p>
      <w:pPr>
        <w:sectPr>
          <w:headerReference w:type="even" r:id="rId11"/>
          <w:headerReference w:type="default" r:id="rId12"/>
          <w:footerReference w:type="even" r:id="rId13"/>
          <w:footerReference w:type="default" r:id="rId14"/>
          <w:headerReference w:type="first" r:id="rId15"/>
          <w:footerReference w:type="first" r:id="rId16"/>
          <w:pgSz w:w="12240" w:h="15840"/>
          <w:pgMar w:top="1440" w:right="902" w:bottom="1622" w:left="1440" w:header="431" w:footer="431" w:gutter="0"/>
          <w:cols w:num="1" w:space="544" w:equalWidth="1"/>
          <w:docGrid w:linePitch="360"/>
        </w:sectPr>
      </w:pPr>
    </w:p>
    <w:p>
      <w:pPr>
        <w:pStyle w:val="Text"/>
        <w:spacing w:before="100" w:after="40"/>
        <w:ind w:firstLine="0"/>
      </w:pPr>
      <w:r>
        <w:rPr>
          <w:b/>
          <w:sz w:val="22"/>
          <w:rFonts w:eastAsia="新細明體" w:hint="eastAsia"/>
        </w:rPr>
        <w:t>摘要</w:t>
      </w:r>
    </w:p>
    <w:p>
      <w:pPr>
        <w:pStyle w:val="Abstract"/>
      </w:pPr>
      <w:r>
        <w:rPr>
          <w:b w:val="0"/>
          <w:rFonts w:eastAsia="新細明體" w:hint="eastAsia"/>
        </w:rPr>
        <w:t>TNR（捕捉—絕育—回置）計畫以剪除單側耳尖作為已絕育個體之標記。傳統誘捕籠無法區分剪耳與未剪耳個體，因此在已絕育比例約八成之場域中，多數捕獲屬徒勞，並可能使貓隻習得迴避誘捕籠。本團隊已部署一套邊緣運算誘捕籠，於微控制器等級之神經網路加速器上執行剪耳偵測，並自主決定是否關閉閘門。116 筆現場判定紀錄顯示，問題出在決策層而非感知層：69% 之判定在完全沒有有效證據幀的情況下作成，34 次捕獲中有 24 次（71%）並無任何支持證據，違反系統自身「不確定時不得捕獲」之原則。本專題以該原型為基準線，將捕獲決策重新形式化為「部分可觀測環境下之效用導向理性代理人」，以明確之信念更新與非對稱成本決策，取代人工調校之固定門檻。感知層視為既有條件，本專題之工作完全集中於決策層。由於每筆判定紀錄皆保存逐幀信心值與當時生效之門檻值，新策略可直接以既有資料進行離線回放開發與評估。預期成果為消除零證據捕獲、同時維持捕獲召回率，並產出可直接於現有微控制器上執行之精簡策略。</w:t>
      </w:r>
    </w:p>
    <w:p>
      <w:pPr>
        <w:pStyle w:val="Text"/>
        <w:spacing w:before="100" w:after="40"/>
        <w:ind w:firstLine="0"/>
      </w:pPr>
      <w:r>
        <w:rPr>
          <w:b/>
          <w:sz w:val="22"/>
          <w:rFonts w:eastAsia="新細明體" w:hint="eastAsia"/>
        </w:rPr>
        <w:t>1. 前言</w:t>
      </w:r>
    </w:p>
    <w:p>
      <w:pPr>
        <w:pStyle w:val="Text"/>
      </w:pPr>
      <w:r>
        <w:rPr>
          <w:b/>
          <w:rFonts w:eastAsia="新細明體" w:hint="eastAsia"/>
        </w:rPr>
        <w:t>動機。自 2017 年臺灣停止以安樂死作為族群控制手段後，收容所容量即成為主要限制 [1]，降低繁殖率因而成為首要管理途徑。TNR 為其中研究最完整、且對族群規模影響最大之介入方式 [2]。其成效取決於能否捕獲未絕育個體，而未絕育個體唯一之辨識依據為耳尖未被剪除 [3]。傳統誘捕籠無從區分，凡進入者一律捕獲。本研究場域中約八成個體已完成絕育，因此多數捕獲為重複捕獲：耗費志工人力、造成動物緊迫，且由於鏈條驅動之鐵製閘門聲響甚大，可能使鄰近貓隻習得迴避行為，反而降低日後接觸真正目標個體之機會。</w:t>
      </w:r>
      <w:r>
        <w:rPr>
          <w:b w:val="0"/>
        </w:rPr>
      </w:r>
    </w:p>
    <w:p>
      <w:pPr>
        <w:pStyle w:val="Text"/>
      </w:pPr>
      <w:r>
        <w:rPr>
          <w:b/>
          <w:rFonts w:eastAsia="新細明體" w:hint="eastAsia"/>
        </w:rPr>
        <w:t>問題定義。本任務並非「偵測貓隻」，而是：在籠內固定相機所產生之一連串充滿雜訊且斷續的逐幀偵測結果之下，決定何時捕獲、何時放行、何時繼續觀察——且須在無網路保證之裝置上、於短暫觀察窗內、面對高度不對稱之成本完成。誤捕之代價昂貴且部分不可逆：動物緊迫、迴避誘捕籠、人力浪費；誤放之代價則低廉，因為同一個體仍會再度造訪。形式上，此為部分可觀測、隨機、序列式任務環境中之序列決策問題，其正確目標為期望效用，而非逐幀分類準確率。</w:t>
      </w:r>
      <w:r>
        <w:rPr>
          <w:b w:val="0"/>
        </w:rPr>
      </w:r>
    </w:p>
    <w:p>
      <w:pPr>
        <w:pStyle w:val="Text"/>
      </w:pPr>
      <w:r>
        <w:rPr>
          <w:b/>
          <w:rFonts w:eastAsia="新細明體" w:hint="eastAsia"/>
        </w:rPr>
        <w:t>現有方法與其不足。既有智慧誘捕籠著眼於物種層級之區分；Besala 等人之 AI 箱型陷阱判斷畫面中之動物是否屬於目標物種 [5]。本任務性質不同：兩個類別為同一物種之兩種狀態，差異僅在數公分之耳廓輪廓，且具決定性之類別嚴重樣本不足。邊緣與雲端之運算位置配置已有延遲與能耗方面之研究 [4]，惟該文獻假設偵測器輸出可直接據以行動，並未處理裝置自身證據不足時應如何反應。</w:t>
      </w:r>
      <w:r>
        <w:rPr>
          <w:b w:val="0"/>
        </w:rPr>
      </w:r>
    </w:p>
    <w:p>
      <w:pPr>
        <w:pStyle w:val="Text"/>
      </w:pPr>
      <w:r>
        <w:rPr>
          <w:b/>
          <w:rFonts w:eastAsia="新細明體" w:hint="eastAsia"/>
        </w:rPr>
        <w:t>範圍。上述量測來自本團隊於研究場域實際運作之原型誘捕籠，該原型提供感知層——一個量化部署於裝置 NPU 上之剪耳偵測器——以及韌體、門控與逐幀證據記錄。本專題將感知層視為既有條件，處理其上一層：把不確定之偵測串流轉換為實體動作之策略。目前使用之決策邏輯為固定門檻規則，其診斷價值明確——該規則揭露約四分之三之結構檢查拒絕屬結構性因素而非門檻因素，指向相機安裝位置而非模型準確率——但作為決策機制則相當脆弱。其門檻為人工設定之常數，其累積器並無「證據累積至多少才算足夠」之概念，且「未觀察到剪耳」被逕行視為「未絕育」，此即 71% 之捕獲在零證據下作成之原因。以下提出之信念與效用形式化，目前並不存在於韌體之中。</w:t>
      </w:r>
      <w:r>
        <w:rPr>
          <w:b w:val="0"/>
        </w:rPr>
      </w:r>
    </w:p>
    <w:p>
      <w:pPr>
        <w:pStyle w:val="Text"/>
      </w:pPr>
      <w:r>
        <w:rPr>
          <w:b/>
          <w:rFonts w:eastAsia="新細明體" w:hint="eastAsia"/>
        </w:rPr>
        <w:t>提出之方法。我們以明確之信念與效用形式化取代固定門檻累積器。偵測器信心值先經校準轉換為概似度，再用以在觀察窗內更新對 {已絕育, 未絕育} 之後驗信念。每一步驟中，代理人依非對稱成本矩陣下之期望效用，在 CAPTURE（捕獲）、RELEASE（放行）與 OBSERVE（繼續觀察）之間選擇，其中 OBSERVE 帶有受實體觀察窗限制之時間成本。第三種結果 UNCERTAIN（不確定）因而首次得以被表達。最終策略將回編為精簡之決策表，使微控制器韌體之結構維持不變。</w:t>
      </w:r>
      <w:r>
        <w:rPr>
          <w:b w:val="0"/>
        </w:rPr>
      </w:r>
    </w:p>
    <w:p>
      <w:pPr>
        <w:pStyle w:val="Text"/>
        <w:spacing w:before="100" w:after="40"/>
        <w:ind w:firstLine="0"/>
      </w:pPr>
      <w:r>
        <w:rPr>
          <w:b/>
          <w:sz w:val="22"/>
          <w:rFonts w:eastAsia="新細明體" w:hint="eastAsia"/>
        </w:rPr>
        <w:t>2. 方法</w:t>
      </w:r>
    </w:p>
    <w:p>
      <w:pPr>
        <w:pStyle w:val="Text"/>
      </w:pPr>
      <w:r>
        <w:rPr>
          <w:b/>
          <w:rFonts w:eastAsia="新細明體" w:hint="eastAsia"/>
        </w:rPr>
        <w:t>2.1. 任務環境界定。我們先以 PEAS 架構界定此代理人 [6]。績效量度：捕獲與放行之期望成本，而非原始準確率。環境：籠內空間，一次一隻貓，其他貓隻可透過網格看見。致動器：閘門馬達與遠端通知。感測器：相機與兩組紅外線感測。此環境為部分可觀測、隨機、序列式且單一代理人。此歸類決定可行解法之範圍，亦為逐幀分類器在結構上不足以勝任之原因。</w:t>
      </w:r>
      <w:r>
        <w:rPr>
          <w:b w:val="0"/>
        </w:rPr>
      </w:r>
    </w:p>
    <w:p>
      <w:pPr>
        <w:pStyle w:val="Text"/>
      </w:pPr>
      <w:r>
        <w:rPr>
          <w:b/>
          <w:rFonts w:eastAsia="新細明體" w:hint="eastAsia"/>
        </w:rPr>
        <w:t>2.2. 信心值校準。偵測器輸出之原始信心值並非機率。我們於保留集上擬合單參數之溫度縮放 [7]，使剪耳類別之信心值成為可用之概似度，並以期望校準誤差與可靠度圖評估校準品質。此步驟為必要，因為下游之信念更新會將這些數值相乘，校準偏差將直接傳遞為錯誤之動作。</w:t>
      </w:r>
      <w:r>
        <w:rPr>
          <w:b w:val="0"/>
        </w:rPr>
      </w:r>
    </w:p>
    <w:p>
      <w:pPr>
        <w:pStyle w:val="Text"/>
      </w:pPr>
      <w:r>
        <w:rPr>
          <w:b/>
          <w:rFonts w:eastAsia="新細明體" w:hint="eastAsia"/>
        </w:rPr>
        <w:t>2.3. 觀察窗內之信念更新。觀察窗被視為一連串觀測。未通過結構檢查之幀被視為「遺漏」而非負面證據；僅此一項改動即可消除「沒有證據等同於證據不存在」之缺陷。有效幀則用以更新後驗。我們將比較獨立概似度更新，與一個雙狀態隱藏馬可夫模型之形式化——後者反映單次造訪內底層狀態固定不變、但可觀測性隨時間變化此一事實。</w:t>
      </w:r>
      <w:r>
        <w:rPr>
          <w:b w:val="0"/>
        </w:rPr>
      </w:r>
    </w:p>
    <w:p>
      <w:pPr>
        <w:pStyle w:val="Text"/>
      </w:pPr>
      <w:r>
        <w:rPr>
          <w:b/>
          <w:rFonts w:eastAsia="新細明體" w:hint="eastAsia"/>
        </w:rPr>
        <w:t>2.4. 效用導向之動作選擇。我們定義一個成本矩陣，其非對稱項次反映前述場域現實，並選擇期望效用最大之動作。由於 OBSERVE 可行但有代價，且觀察窗上限為 6 秒（依實測 703 毫秒之幀間隔中位數計算約為九幀），此為最佳停止問題，以剩餘觀察窗之反向歸納求解。</w:t>
      </w:r>
      <w:r>
        <w:rPr>
          <w:b w:val="0"/>
        </w:rPr>
      </w:r>
    </w:p>
    <w:p>
      <w:pPr>
        <w:pStyle w:val="Text"/>
      </w:pPr>
      <w:r>
        <w:rPr>
          <w:b/>
          <w:rFonts w:eastAsia="新細明體" w:hint="eastAsia"/>
        </w:rPr>
        <w:t>2.5. 以回放進行離線策略評估。每筆判定紀錄皆保存逐幀信心值、各項條件之拒絕計數與當時生效之門檻值，因此任何候選策略皆可於已記錄之 116 筆判定與 1,125 幀上評分，無需重新至現場採集資料。此特性使單一學期內之快速迭代成為可能，亦為本專題可行性之主要依據。</w:t>
      </w:r>
      <w:r>
        <w:rPr>
          <w:b w:val="0"/>
        </w:rPr>
      </w:r>
    </w:p>
    <w:p>
      <w:pPr>
        <w:pStyle w:val="Text"/>
      </w:pPr>
      <w:r>
        <w:rPr>
          <w:b/>
          <w:rFonts w:eastAsia="新細明體" w:hint="eastAsia"/>
        </w:rPr>
        <w:t>2.6. 部署限制。最終策略將量化為以（累積信念, 剩餘幀數）為索引之查找表，以符合既有 RTL8735B 韌體。任何無法如此編譯之策略即予排除。此限制與本團隊先前之架構選型考量一致：RT-DETR-L 雖僅損失 0.087 之 mAP，量化後卻完全失去決策層覆蓋率。</w:t>
      </w:r>
      <w:r>
        <w:rPr>
          <w:b w:val="0"/>
        </w:rPr>
      </w:r>
    </w:p>
    <w:p>
      <w:pPr>
        <w:pStyle w:val="Text"/>
        <w:spacing w:before="100" w:after="40"/>
        <w:ind w:firstLine="0"/>
      </w:pPr>
      <w:r>
        <w:rPr>
          <w:b/>
          <w:sz w:val="22"/>
          <w:rFonts w:eastAsia="新細明體" w:hint="eastAsia"/>
        </w:rPr>
        <w:t>3. 預期結果</w:t>
      </w:r>
    </w:p>
    <w:p>
      <w:pPr>
        <w:jc w:val="center"/>
      </w:pPr>
      <w:r>
        <w:drawing>
          <wp:inline xmlns:a="http://schemas.openxmlformats.org/drawingml/2006/main" xmlns:pic="http://schemas.openxmlformats.org/drawingml/2006/picture">
            <wp:extent cx="2880000" cy="441000"/>
            <wp:docPr id="1" name="Picture 1"/>
            <wp:cNvGraphicFramePr>
              <a:graphicFrameLocks noChangeAspect="1"/>
            </wp:cNvGraphicFramePr>
            <a:graphic>
              <a:graphicData uri="http://schemas.openxmlformats.org/drawingml/2006/picture">
                <pic:pic>
                  <pic:nvPicPr>
                    <pic:cNvPr id="0" name="fig7-5_window_sequence_v2.jpg"/>
                    <pic:cNvPicPr/>
                  </pic:nvPicPr>
                  <pic:blipFill>
                    <a:blip r:embed="rId19"/>
                    <a:stretch>
                      <a:fillRect/>
                    </a:stretch>
                  </pic:blipFill>
                  <pic:spPr>
                    <a:xfrm>
                      <a:off x="0" y="0"/>
                      <a:ext cx="2880000" cy="441000"/>
                    </a:xfrm>
                    <a:prstGeom prst="rect"/>
                  </pic:spPr>
                </pic:pic>
              </a:graphicData>
            </a:graphic>
          </wp:inline>
        </w:drawing>
      </w:r>
    </w:p>
    <w:p>
      <w:pPr>
        <w:pStyle w:val="FigureCaption"/>
      </w:pPr>
      <w:r>
        <w:rPr>
          <w:b w:val="0"/>
          <w:rFonts w:eastAsia="新細明體" w:hint="eastAsia"/>
        </w:rPr>
        <w:t>圖 1. 一次已記錄之觀察窗（九幀，0.6–6.3 秒）。其中僅 f02 成為有效證據幀，其餘皆未通過結構檢查。於現行規則下，此觀察窗將在幾乎沒有證據之情況下以捕獲作結；所提策略預期將其歸為 UNCERTAIN。</w:t>
      </w:r>
    </w:p>
    <w:tbl>
      <w:tblPr>
        <w:tblW w:type="auto" w:w="0"/>
        <w:tblLook w:firstColumn="1" w:firstRow="1" w:lastColumn="0" w:lastRow="0" w:noHBand="0" w:noVBand="1" w:val="04A0"/>
      </w:tblPr>
      <w:tblGrid>
        <w:gridCol w:w="1368"/>
        <w:gridCol w:w="1613"/>
        <w:gridCol w:w="1843"/>
      </w:tblGrid>
      <w:tr>
        <w:tc>
          <w:tcPr>
            <w:tcW w:type="dxa" w:w="1368"/>
          </w:tcPr>
          <w:p>
            <w:r>
              <w:rPr>
                <w:rFonts w:eastAsia="新細明體" w:hint="eastAsia"/>
                <w:b/>
                <w:sz w:val="16"/>
              </w:rPr>
              <w:t>指標</w:t>
            </w:r>
            <w:r>
              <w:rPr>
                <w:b/>
                <w:sz w:val="16"/>
              </w:rPr>
            </w:r>
          </w:p>
        </w:tc>
        <w:tc>
          <w:tcPr>
            <w:tcW w:type="dxa" w:w="1613"/>
          </w:tcPr>
          <w:p>
            <w:r>
              <w:rPr>
                <w:rFonts w:eastAsia="新細明體" w:hint="eastAsia"/>
                <w:b/>
                <w:sz w:val="16"/>
              </w:rPr>
              <w:t>現行固定門檻規則</w:t>
            </w:r>
            <w:r>
              <w:rPr>
                <w:b/>
                <w:sz w:val="16"/>
              </w:rPr>
            </w:r>
          </w:p>
        </w:tc>
        <w:tc>
          <w:tcPr>
            <w:tcW w:type="dxa" w:w="1843"/>
          </w:tcPr>
          <w:p>
            <w:r>
              <w:rPr>
                <w:rFonts w:eastAsia="新細明體" w:hint="eastAsia"/>
                <w:b/>
                <w:sz w:val="16"/>
              </w:rPr>
              <w:t>本專題目標</w:t>
            </w:r>
            <w:r>
              <w:rPr>
                <w:b/>
                <w:sz w:val="16"/>
              </w:rPr>
            </w:r>
          </w:p>
        </w:tc>
      </w:tr>
      <w:tr>
        <w:tc>
          <w:tcPr>
            <w:tcW w:type="dxa" w:w="1368"/>
          </w:tcPr>
          <w:p>
            <w:r>
              <w:rPr>
                <w:rFonts w:eastAsia="新細明體" w:hint="eastAsia"/>
                <w:b w:val="0"/>
                <w:sz w:val="16"/>
              </w:rPr>
              <w:t>零證據捕獲</w:t>
            </w:r>
            <w:r>
              <w:rPr>
                <w:b w:val="0"/>
                <w:sz w:val="16"/>
              </w:rPr>
            </w:r>
          </w:p>
        </w:tc>
        <w:tc>
          <w:tcPr>
            <w:tcW w:type="dxa" w:w="1613"/>
          </w:tcPr>
          <w:p>
            <w:r>
              <w:rPr>
                <w:rFonts w:eastAsia="新細明體" w:hint="eastAsia"/>
                <w:b w:val="0"/>
                <w:sz w:val="16"/>
              </w:rPr>
              <w:t>24 / 34（71%）</w:t>
            </w:r>
            <w:r>
              <w:rPr>
                <w:b w:val="0"/>
                <w:sz w:val="16"/>
              </w:rPr>
            </w:r>
          </w:p>
        </w:tc>
        <w:tc>
          <w:tcPr>
            <w:tcW w:type="dxa" w:w="1843"/>
          </w:tcPr>
          <w:p>
            <w:r>
              <w:rPr>
                <w:rFonts w:eastAsia="新細明體" w:hint="eastAsia"/>
                <w:b w:val="0"/>
                <w:sz w:val="16"/>
              </w:rPr>
              <w:t>0</w:t>
            </w:r>
            <w:r>
              <w:rPr>
                <w:b w:val="0"/>
                <w:sz w:val="16"/>
              </w:rPr>
            </w:r>
          </w:p>
        </w:tc>
      </w:tr>
      <w:tr>
        <w:tc>
          <w:tcPr>
            <w:tcW w:type="dxa" w:w="1368"/>
          </w:tcPr>
          <w:p>
            <w:r>
              <w:rPr>
                <w:rFonts w:eastAsia="新細明體" w:hint="eastAsia"/>
                <w:b w:val="0"/>
                <w:sz w:val="16"/>
              </w:rPr>
              <w:t>零證據判定</w:t>
            </w:r>
            <w:r>
              <w:rPr>
                <w:b w:val="0"/>
                <w:sz w:val="16"/>
              </w:rPr>
            </w:r>
          </w:p>
        </w:tc>
        <w:tc>
          <w:tcPr>
            <w:tcW w:type="dxa" w:w="1613"/>
          </w:tcPr>
          <w:p>
            <w:r>
              <w:rPr>
                <w:rFonts w:eastAsia="新細明體" w:hint="eastAsia"/>
                <w:b w:val="0"/>
                <w:sz w:val="16"/>
              </w:rPr>
              <w:t>69%</w:t>
            </w:r>
            <w:r>
              <w:rPr>
                <w:b w:val="0"/>
                <w:sz w:val="16"/>
              </w:rPr>
            </w:r>
          </w:p>
        </w:tc>
        <w:tc>
          <w:tcPr>
            <w:tcW w:type="dxa" w:w="1843"/>
          </w:tcPr>
          <w:p>
            <w:r>
              <w:rPr>
                <w:rFonts w:eastAsia="新細明體" w:hint="eastAsia"/>
                <w:b w:val="0"/>
                <w:sz w:val="16"/>
              </w:rPr>
              <w:t>列為 UNCERTAIN</w:t>
            </w:r>
            <w:r>
              <w:rPr>
                <w:b w:val="0"/>
                <w:sz w:val="16"/>
              </w:rPr>
            </w:r>
          </w:p>
        </w:tc>
      </w:tr>
      <w:tr>
        <w:tc>
          <w:tcPr>
            <w:tcW w:type="dxa" w:w="1368"/>
          </w:tcPr>
          <w:p>
            <w:r>
              <w:rPr>
                <w:rFonts w:eastAsia="新細明體" w:hint="eastAsia"/>
                <w:b w:val="0"/>
                <w:sz w:val="16"/>
              </w:rPr>
              <w:t>未絕育召回率</w:t>
            </w:r>
            <w:r>
              <w:rPr>
                <w:b w:val="0"/>
                <w:sz w:val="16"/>
              </w:rPr>
            </w:r>
          </w:p>
        </w:tc>
        <w:tc>
          <w:tcPr>
            <w:tcW w:type="dxa" w:w="1613"/>
          </w:tcPr>
          <w:p>
            <w:r>
              <w:rPr>
                <w:rFonts w:eastAsia="新細明體" w:hint="eastAsia"/>
                <w:b w:val="0"/>
                <w:sz w:val="16"/>
              </w:rPr>
              <w:t>尚無法計算</w:t>
            </w:r>
            <w:r>
              <w:rPr>
                <w:b w:val="0"/>
                <w:sz w:val="16"/>
              </w:rPr>
            </w:r>
          </w:p>
        </w:tc>
        <w:tc>
          <w:tcPr>
            <w:tcW w:type="dxa" w:w="1843"/>
          </w:tcPr>
          <w:p>
            <w:r>
              <w:rPr>
                <w:rFonts w:eastAsia="新細明體" w:hint="eastAsia"/>
                <w:b w:val="0"/>
                <w:sz w:val="16"/>
              </w:rPr>
              <w:t>逐類別＋信賴區間</w:t>
            </w:r>
            <w:r>
              <w:rPr>
                <w:b w:val="0"/>
                <w:sz w:val="16"/>
              </w:rPr>
            </w:r>
          </w:p>
        </w:tc>
      </w:tr>
      <w:tr>
        <w:tc>
          <w:tcPr>
            <w:tcW w:type="dxa" w:w="1368"/>
          </w:tcPr>
          <w:p>
            <w:r>
              <w:rPr>
                <w:rFonts w:eastAsia="新細明體" w:hint="eastAsia"/>
                <w:b w:val="0"/>
                <w:sz w:val="16"/>
              </w:rPr>
              <w:t>裝置端策略</w:t>
            </w:r>
            <w:r>
              <w:rPr>
                <w:b w:val="0"/>
                <w:sz w:val="16"/>
              </w:rPr>
            </w:r>
          </w:p>
        </w:tc>
        <w:tc>
          <w:tcPr>
            <w:tcW w:type="dxa" w:w="1613"/>
          </w:tcPr>
          <w:p>
            <w:r>
              <w:rPr>
                <w:rFonts w:eastAsia="新細明體" w:hint="eastAsia"/>
                <w:b w:val="0"/>
                <w:sz w:val="16"/>
              </w:rPr>
              <w:t>人工設定常數</w:t>
            </w:r>
            <w:r>
              <w:rPr>
                <w:b w:val="0"/>
                <w:sz w:val="16"/>
              </w:rPr>
            </w:r>
          </w:p>
        </w:tc>
        <w:tc>
          <w:tcPr>
            <w:tcW w:type="dxa" w:w="1843"/>
          </w:tcPr>
          <w:p>
            <w:r>
              <w:rPr>
                <w:rFonts w:eastAsia="新細明體" w:hint="eastAsia"/>
                <w:b w:val="0"/>
                <w:sz w:val="16"/>
              </w:rPr>
              <w:t>查找表</w:t>
            </w:r>
            <w:r>
              <w:rPr>
                <w:b w:val="0"/>
                <w:sz w:val="16"/>
              </w:rPr>
            </w:r>
          </w:p>
        </w:tc>
      </w:tr>
    </w:tbl>
    <w:p>
      <w:pPr>
        <w:pStyle w:val="FigureCaption"/>
      </w:pPr>
      <w:r>
        <w:rPr>
          <w:b w:val="0"/>
          <w:rFonts w:eastAsia="新細明體" w:hint="eastAsia"/>
        </w:rPr>
        <w:t>表 1. 相對於現行規則之目標值。</w:t>
      </w:r>
    </w:p>
    <w:p>
      <w:pPr>
        <w:pStyle w:val="Text"/>
      </w:pPr>
      <w:r>
        <w:rPr>
          <w:b w:val="0"/>
          <w:rFonts w:eastAsia="新細明體" w:hint="eastAsia"/>
        </w:rPr>
        <w:t>我們將回報逐類別召回率而非整體準確率：在已絕育個體佔八成之場域中，一個「一律判為已絕育」之退化策略即可達到約 80% 之準確率。主要產出為一條決策成本曲線，於一系列成本比值下比較所提策略與現行規則。負面結果仍有可能：若剪耳類別經校準後之信心值本身過弱，任何決策策略皆無法補救，屆時結論將轉為一項量化陳述——瓶頸在於感知層而非決策邏輯。能夠乾淨地分離此二成因，本身即為一項結果。</w:t>
      </w:r>
    </w:p>
    <w:p>
      <w:pPr>
        <w:pStyle w:val="Text"/>
        <w:spacing w:before="100" w:after="40"/>
        <w:ind w:firstLine="0"/>
      </w:pPr>
      <w:r>
        <w:rPr>
          <w:b/>
          <w:sz w:val="22"/>
          <w:rFonts w:eastAsia="新細明體" w:hint="eastAsia"/>
        </w:rPr>
        <w:t>參考文獻</w:t>
      </w:r>
    </w:p>
    <w:p>
      <w:pPr>
        <w:pStyle w:val="References"/>
      </w:pPr>
      <w:r>
        <w:rPr>
          <w:b w:val="0"/>
        </w:rPr>
        <w:t>Yan, T.-Y., and Teng, K. T.-y. Trends in animal shelter management, adoption, and animal death in Taiwan from 2012 to 2020. Animals, 13:1451, 2023.</w:t>
      </w:r>
    </w:p>
    <w:p>
      <w:pPr>
        <w:pStyle w:val="References"/>
      </w:pPr>
      <w:r>
        <w:rPr>
          <w:b w:val="0"/>
        </w:rPr>
        <w:t>Smith, L. M., Hartmann, S., Munteanu, A. M., Dalla Villa, P., Quinnell, R. J., and Collins, L. M. The effectiveness of dog population management: A systematic review. Animals, 9:1020, 2019.</w:t>
      </w:r>
    </w:p>
    <w:p>
      <w:pPr>
        <w:pStyle w:val="References"/>
      </w:pPr>
      <w:r>
        <w:rPr>
          <w:b w:val="0"/>
        </w:rPr>
        <w:t>Agriculture Knowledge Portal, Taiwan. Introduction to TNR. 2020.</w:t>
      </w:r>
    </w:p>
    <w:p>
      <w:pPr>
        <w:pStyle w:val="References"/>
      </w:pPr>
      <w:r>
        <w:rPr>
          <w:b w:val="0"/>
        </w:rPr>
        <w:t>Koubaa, A., Ammar, A., Alahdab, M., Kanhouch, A., and Azar, A. T. DeepBrain: Experimental evaluation of cloud-based computation offloading and edge computing in the Internet-of-Drones for deep learning applications. Sensors, 20:5240, 2020.</w:t>
      </w:r>
    </w:p>
    <w:p>
      <w:pPr>
        <w:pStyle w:val="References"/>
      </w:pPr>
      <w:r>
        <w:rPr>
          <w:b w:val="0"/>
        </w:rPr>
        <w:t>Besala, F. I., Niimoto, R., Lee, J. H., and Okamoto, S. Development of AI-based smart box trap system for capturing a harmful wild boar. ROBOMECH Journal, 12:4, 2025.</w:t>
      </w:r>
    </w:p>
    <w:p>
      <w:pPr>
        <w:pStyle w:val="References"/>
      </w:pPr>
      <w:r>
        <w:rPr>
          <w:b w:val="0"/>
        </w:rPr>
        <w:t>Russell, S., and Norvig, P. Artificial Intelligence: A Modern Approach. Pearson, 4th edition, 2020.</w:t>
      </w:r>
    </w:p>
    <w:p>
      <w:pPr>
        <w:pStyle w:val="References"/>
      </w:pPr>
      <w:r>
        <w:rPr>
          <w:b w:val="0"/>
        </w:rPr>
        <w:t>Guo, C., Pleiss, G., Sun, Y., and Weinberger, K. Q. On calibration of modern neural networks. In ICML, 2017.</w:t>
      </w:r>
    </w:p>
    <w:sectPr w:rsidR="00F66F7E" w:rsidSect="005D61CD">
      <w:type w:val="continuous"/>
      <w:pgSz w:w="12240" w:h="15840"/>
      <w:pgMar w:top="1440" w:right="902" w:bottom="1622" w:left="1440" w:header="431" w:footer="431" w:gutter="0"/>
      <w:cols w:num="2" w:space="544" w:equalWidth="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85A45" w14:textId="77777777" w:rsidR="001E191E" w:rsidRDefault="001E191E">
      <w:r>
        <w:separator/>
      </w:r>
    </w:p>
  </w:endnote>
  <w:endnote w:type="continuationSeparator" w:id="0">
    <w:p w14:paraId="3A2EEE16" w14:textId="77777777" w:rsidR="001E191E" w:rsidRDefault="001E19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Mangal">
    <w:panose1 w:val="00000400000000000000"/>
    <w:charset w:val="01"/>
    <w:family w:val="roman"/>
    <w:pitch w:val="variable"/>
    <w:sig w:usb0="0000A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auto"/>
    <w:pitch w:val="variable"/>
    <w:sig w:usb0="00000003"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65211" w14:textId="77777777" w:rsidR="00737598" w:rsidRDefault="00737598">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629C1" w14:textId="77777777" w:rsidR="00737598" w:rsidRDefault="00737598">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79023" w14:textId="77777777" w:rsidR="00737598" w:rsidRDefault="00737598">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D1955" w14:textId="77777777" w:rsidR="001E191E" w:rsidRDefault="001E191E">
      <w:r>
        <w:separator/>
      </w:r>
    </w:p>
  </w:footnote>
  <w:footnote w:type="continuationSeparator" w:id="0">
    <w:p w14:paraId="19D216B7" w14:textId="77777777" w:rsidR="001E191E" w:rsidRDefault="001E191E">
      <w:r>
        <w:continuationSeparator/>
      </w:r>
    </w:p>
  </w:footnote>
  <w:footnote w:id="1">
    <w:p w14:paraId="488C6C37" w14:textId="77777777" w:rsidR="00F66F7E" w:rsidRDefault="00F66F7E">
      <w:pPr>
        <w:pStyle w:val="ab"/>
      </w:pPr>
      <w:r>
        <w:rPr>
          <w:rStyle w:val="FootnoteCharacters"/>
        </w:rPr>
        <w:footnoteRef/>
      </w:r>
      <w:r>
        <w:tab/>
        <w:t xml:space="preserve"> This is what a footnote looks like. It </w:t>
      </w:r>
      <w:r>
        <w:rPr>
          <w:rStyle w:val="a5"/>
        </w:rPr>
        <w:t>often distracts the reader from</w:t>
      </w:r>
      <w:r>
        <w:t xml:space="preserve"> the main flow of the argument.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06FED" w14:textId="77777777" w:rsidR="0037698C" w:rsidRDefault="0037698C">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00DF1" w14:textId="77777777" w:rsidR="00737598" w:rsidRDefault="00737598">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C2969" w14:textId="77777777" w:rsidR="0037698C" w:rsidRDefault="0037698C">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suff w:val="space"/>
      <w:lvlText w:val="%1."/>
      <w:lvlJc w:val="left"/>
      <w:pPr>
        <w:tabs>
          <w:tab w:val="num" w:pos="0"/>
        </w:tabs>
        <w:ind w:left="432" w:hanging="432"/>
      </w:pPr>
    </w:lvl>
    <w:lvl w:ilvl="1">
      <w:start w:val="1"/>
      <w:numFmt w:val="decimal"/>
      <w:suff w:val="space"/>
      <w:lvlText w:val="%1.%2."/>
      <w:lvlJc w:val="left"/>
      <w:pPr>
        <w:tabs>
          <w:tab w:val="num" w:pos="0"/>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02"/>
    <w:multiLevelType w:val="multilevel"/>
    <w:tmpl w:val="2234A0D4"/>
    <w:name w:val="WW8Num1"/>
    <w:lvl w:ilvl="0">
      <w:start w:val="1"/>
      <w:numFmt w:val="decimal"/>
      <w:pStyle w:val="1"/>
      <w:suff w:val="space"/>
      <w:lvlText w:val="%1."/>
      <w:lvlJc w:val="left"/>
      <w:pPr>
        <w:tabs>
          <w:tab w:val="num" w:pos="0"/>
        </w:tabs>
        <w:ind w:left="432" w:hanging="432"/>
      </w:pPr>
    </w:lvl>
    <w:lvl w:ilvl="1">
      <w:start w:val="1"/>
      <w:numFmt w:val="decimal"/>
      <w:pStyle w:val="2"/>
      <w:suff w:val="space"/>
      <w:lvlText w:val="%1.%2."/>
      <w:lvlJc w:val="left"/>
      <w:pPr>
        <w:tabs>
          <w:tab w:val="num" w:pos="0"/>
        </w:tabs>
        <w:ind w:left="576" w:hanging="576"/>
      </w:pPr>
      <w:rPr>
        <w:b/>
        <w:bCs/>
        <w:sz w:val="22"/>
        <w:szCs w:val="22"/>
      </w:rPr>
    </w:lvl>
    <w:lvl w:ilvl="2">
      <w:start w:val="1"/>
      <w:numFmt w:val="decimal"/>
      <w:pStyle w:val="3"/>
      <w:lvlText w:val="%1.%2.%3"/>
      <w:lvlJc w:val="left"/>
      <w:pPr>
        <w:tabs>
          <w:tab w:val="num" w:pos="720"/>
        </w:tabs>
        <w:ind w:left="720" w:hanging="720"/>
      </w:pPr>
    </w:lvl>
    <w:lvl w:ilvl="3">
      <w:start w:val="1"/>
      <w:numFmt w:val="decimal"/>
      <w:pStyle w:val="4"/>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2" w15:restartNumberingAfterBreak="0">
    <w:nsid w:val="00000003"/>
    <w:multiLevelType w:val="singleLevel"/>
    <w:tmpl w:val="00000003"/>
    <w:name w:val="WW8Num7"/>
    <w:lvl w:ilvl="0">
      <w:start w:val="1"/>
      <w:numFmt w:val="decimal"/>
      <w:pStyle w:val="References"/>
      <w:lvlText w:val="[%1]"/>
      <w:lvlJc w:val="left"/>
      <w:pPr>
        <w:tabs>
          <w:tab w:val="num" w:pos="360"/>
        </w:tabs>
        <w:ind w:left="36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bordersDoNotSurroundHeader/>
  <w:bordersDoNotSurroundFooter/>
  <w:proofState w:spelling="clean" w:grammar="clean"/>
  <w:defaultTabStop w:val="202"/>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49"/>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F40"/>
    <w:rsid w:val="000534E2"/>
    <w:rsid w:val="000C0414"/>
    <w:rsid w:val="000F6CAE"/>
    <w:rsid w:val="00104664"/>
    <w:rsid w:val="00191877"/>
    <w:rsid w:val="001C7E11"/>
    <w:rsid w:val="001E191E"/>
    <w:rsid w:val="00241835"/>
    <w:rsid w:val="002477B7"/>
    <w:rsid w:val="00251F16"/>
    <w:rsid w:val="002B6BFC"/>
    <w:rsid w:val="002C1FC7"/>
    <w:rsid w:val="002E3D6A"/>
    <w:rsid w:val="002F05C3"/>
    <w:rsid w:val="003142D9"/>
    <w:rsid w:val="00354D6B"/>
    <w:rsid w:val="0037698C"/>
    <w:rsid w:val="003E3A46"/>
    <w:rsid w:val="00437C99"/>
    <w:rsid w:val="00484418"/>
    <w:rsid w:val="004E0E37"/>
    <w:rsid w:val="00526C9E"/>
    <w:rsid w:val="00532EAA"/>
    <w:rsid w:val="00587C02"/>
    <w:rsid w:val="005D61CD"/>
    <w:rsid w:val="0066092D"/>
    <w:rsid w:val="00672C7C"/>
    <w:rsid w:val="006751AB"/>
    <w:rsid w:val="006C00F0"/>
    <w:rsid w:val="00725BAB"/>
    <w:rsid w:val="00727A47"/>
    <w:rsid w:val="0073244D"/>
    <w:rsid w:val="00737598"/>
    <w:rsid w:val="0075435D"/>
    <w:rsid w:val="00764B5B"/>
    <w:rsid w:val="007B2BB8"/>
    <w:rsid w:val="00802680"/>
    <w:rsid w:val="00825CB8"/>
    <w:rsid w:val="0082755C"/>
    <w:rsid w:val="00833AF4"/>
    <w:rsid w:val="00852F40"/>
    <w:rsid w:val="00884C38"/>
    <w:rsid w:val="00936E62"/>
    <w:rsid w:val="00955656"/>
    <w:rsid w:val="0095785C"/>
    <w:rsid w:val="00A54D8A"/>
    <w:rsid w:val="00A62E8F"/>
    <w:rsid w:val="00AC5631"/>
    <w:rsid w:val="00CB1912"/>
    <w:rsid w:val="00D01EE8"/>
    <w:rsid w:val="00D04357"/>
    <w:rsid w:val="00D60DE5"/>
    <w:rsid w:val="00D94115"/>
    <w:rsid w:val="00E55195"/>
    <w:rsid w:val="00E6288E"/>
    <w:rsid w:val="00E628D0"/>
    <w:rsid w:val="00E63A37"/>
    <w:rsid w:val="00E86551"/>
    <w:rsid w:val="00EB57C6"/>
    <w:rsid w:val="00F23DF3"/>
    <w:rsid w:val="00F658A1"/>
    <w:rsid w:val="00F66F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7DBAFBBA"/>
  <w14:defaultImageDpi w14:val="300"/>
  <w15:chartTrackingRefBased/>
  <w15:docId w15:val="{A9AF6FDA-D048-C34C-81A1-8B806CF0A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等线"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autoSpaceDE w:val="0"/>
    </w:pPr>
  </w:style>
  <w:style w:type="paragraph" w:styleId="1">
    <w:name w:val="heading 1"/>
    <w:basedOn w:val="a"/>
    <w:next w:val="a"/>
    <w:qFormat/>
    <w:pPr>
      <w:keepNext/>
      <w:numPr>
        <w:numId w:val="2"/>
      </w:numPr>
      <w:spacing w:before="240" w:after="80"/>
      <w:outlineLvl w:val="0"/>
    </w:pPr>
  </w:style>
  <w:style w:type="paragraph" w:styleId="2">
    <w:name w:val="heading 2"/>
    <w:basedOn w:val="a"/>
    <w:next w:val="a"/>
    <w:qFormat/>
    <w:pPr>
      <w:keepNext/>
      <w:numPr>
        <w:ilvl w:val="1"/>
        <w:numId w:val="2"/>
      </w:numPr>
      <w:spacing w:before="240" w:after="120"/>
      <w:ind w:left="578" w:hanging="578"/>
      <w:outlineLvl w:val="1"/>
    </w:pPr>
  </w:style>
  <w:style w:type="paragraph" w:styleId="3">
    <w:name w:val="heading 3"/>
    <w:basedOn w:val="a"/>
    <w:next w:val="a"/>
    <w:qFormat/>
    <w:pPr>
      <w:keepNext/>
      <w:numPr>
        <w:ilvl w:val="2"/>
        <w:numId w:val="2"/>
      </w:numPr>
      <w:outlineLvl w:val="2"/>
    </w:pPr>
    <w:rPr>
      <w:i/>
      <w:iCs/>
    </w:rPr>
  </w:style>
  <w:style w:type="paragraph" w:styleId="4">
    <w:name w:val="heading 4"/>
    <w:basedOn w:val="a"/>
    <w:next w:val="a"/>
    <w:qFormat/>
    <w:pPr>
      <w:keepNext/>
      <w:numPr>
        <w:ilvl w:val="3"/>
        <w:numId w:val="2"/>
      </w:numPr>
      <w:spacing w:before="240" w:after="60"/>
      <w:outlineLvl w:val="3"/>
    </w:pPr>
  </w:style>
  <w:style w:type="paragraph" w:styleId="5">
    <w:name w:val="heading 5"/>
    <w:basedOn w:val="a"/>
    <w:next w:val="a"/>
    <w:qFormat/>
    <w:pPr>
      <w:numPr>
        <w:ilvl w:val="4"/>
        <w:numId w:val="2"/>
      </w:numPr>
      <w:spacing w:before="240" w:after="60"/>
      <w:outlineLvl w:val="4"/>
    </w:pPr>
    <w:rPr>
      <w:sz w:val="18"/>
      <w:szCs w:val="18"/>
    </w:rPr>
  </w:style>
  <w:style w:type="paragraph" w:styleId="6">
    <w:name w:val="heading 6"/>
    <w:basedOn w:val="a"/>
    <w:next w:val="a"/>
    <w:qFormat/>
    <w:pPr>
      <w:numPr>
        <w:ilvl w:val="5"/>
        <w:numId w:val="2"/>
      </w:numPr>
      <w:spacing w:before="240" w:after="60"/>
      <w:outlineLvl w:val="5"/>
    </w:pPr>
  </w:style>
  <w:style w:type="paragraph" w:styleId="7">
    <w:name w:val="heading 7"/>
    <w:basedOn w:val="a"/>
    <w:next w:val="a"/>
    <w:qFormat/>
    <w:pPr>
      <w:numPr>
        <w:ilvl w:val="6"/>
        <w:numId w:val="2"/>
      </w:numPr>
      <w:spacing w:before="240" w:after="60"/>
      <w:outlineLvl w:val="6"/>
    </w:pPr>
    <w:rPr>
      <w:sz w:val="16"/>
      <w:szCs w:val="16"/>
    </w:rPr>
  </w:style>
  <w:style w:type="paragraph" w:styleId="8">
    <w:name w:val="heading 8"/>
    <w:basedOn w:val="a"/>
    <w:next w:val="a"/>
    <w:qFormat/>
    <w:pPr>
      <w:numPr>
        <w:ilvl w:val="7"/>
        <w:numId w:val="2"/>
      </w:numPr>
      <w:spacing w:before="240" w:after="60"/>
      <w:outlineLvl w:val="7"/>
    </w:pPr>
  </w:style>
  <w:style w:type="paragraph" w:styleId="9">
    <w:name w:val="heading 9"/>
    <w:basedOn w:val="a"/>
    <w:next w:val="a"/>
    <w:qFormat/>
    <w:pPr>
      <w:numPr>
        <w:ilvl w:val="8"/>
        <w:numId w:val="2"/>
      </w:numPr>
      <w:spacing w:before="240" w:after="60"/>
      <w:outlineLvl w:val="8"/>
    </w:pPr>
    <w:rPr>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5z0">
    <w:name w:val="WW8Num5z0"/>
  </w:style>
  <w:style w:type="character" w:customStyle="1" w:styleId="WW8Num6z0">
    <w:name w:val="WW8Num6z0"/>
  </w:style>
  <w:style w:type="character" w:customStyle="1" w:styleId="WW8Num7z0">
    <w:name w:val="WW8Num7z0"/>
  </w:style>
  <w:style w:type="character" w:customStyle="1" w:styleId="WW8Num8z0">
    <w:name w:val="WW8Num8z0"/>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6z0">
    <w:name w:val="WW8Num16z0"/>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MemberType">
    <w:name w:val="MemberType"/>
  </w:style>
  <w:style w:type="character" w:customStyle="1" w:styleId="FootnoteCharacters">
    <w:name w:val="Footnote Characters"/>
    <w:rPr>
      <w:vertAlign w:val="superscript"/>
    </w:rPr>
  </w:style>
  <w:style w:type="character" w:styleId="a3">
    <w:name w:val="Hyperlink"/>
  </w:style>
  <w:style w:type="character" w:styleId="a4">
    <w:name w:val="FollowedHyperlink"/>
  </w:style>
  <w:style w:type="character" w:styleId="a5">
    <w:name w:val="page number"/>
    <w:basedOn w:val="a0"/>
  </w:style>
  <w:style w:type="character" w:customStyle="1" w:styleId="Heading1Char">
    <w:name w:val="Heading 1 Char"/>
  </w:style>
  <w:style w:type="character" w:customStyle="1" w:styleId="TextChar">
    <w:name w:val="Text Char"/>
  </w:style>
  <w:style w:type="character" w:styleId="a6">
    <w:name w:val="footnote reference"/>
    <w:rPr>
      <w:vertAlign w:val="superscript"/>
    </w:rPr>
  </w:style>
  <w:style w:type="character" w:styleId="a7">
    <w:name w:val="endnote reference"/>
    <w:rPr>
      <w:vertAlign w:val="superscript"/>
    </w:rPr>
  </w:style>
  <w:style w:type="character" w:customStyle="1" w:styleId="EndnoteCharacters">
    <w:name w:val="Endnote Characters"/>
  </w:style>
  <w:style w:type="paragraph" w:customStyle="1" w:styleId="Heading">
    <w:name w:val="Heading"/>
    <w:basedOn w:val="a"/>
    <w:next w:val="a"/>
    <w:pPr>
      <w:jc w:val="center"/>
    </w:pPr>
  </w:style>
  <w:style w:type="paragraph" w:styleId="a8">
    <w:name w:val="Body Text"/>
    <w:basedOn w:val="a"/>
    <w:pPr>
      <w:spacing w:after="140" w:line="288" w:lineRule="auto"/>
    </w:pPr>
  </w:style>
  <w:style w:type="paragraph" w:styleId="a9">
    <w:name w:val="List"/>
    <w:basedOn w:val="a8"/>
    <w:rPr>
      <w:rFonts w:cs="Mangal"/>
    </w:rPr>
  </w:style>
  <w:style w:type="paragraph" w:styleId="aa">
    <w:name w:val="caption"/>
    <w:basedOn w:val="a"/>
    <w:next w:val="a"/>
    <w:qFormat/>
    <w:rPr>
      <w:b/>
      <w:bCs/>
    </w:rPr>
  </w:style>
  <w:style w:type="paragraph" w:customStyle="1" w:styleId="Index">
    <w:name w:val="Index"/>
    <w:basedOn w:val="a"/>
    <w:pPr>
      <w:suppressLineNumbers/>
    </w:pPr>
    <w:rPr>
      <w:rFonts w:cs="Mangal"/>
    </w:rPr>
  </w:style>
  <w:style w:type="paragraph" w:customStyle="1" w:styleId="Abstract">
    <w:name w:val="Abstract"/>
    <w:basedOn w:val="a"/>
    <w:next w:val="a"/>
    <w:pPr>
      <w:spacing w:before="20"/>
      <w:ind w:firstLine="202"/>
      <w:jc w:val="both"/>
    </w:pPr>
  </w:style>
  <w:style w:type="paragraph" w:customStyle="1" w:styleId="Authors">
    <w:name w:val="Authors"/>
    <w:basedOn w:val="a"/>
    <w:next w:val="a"/>
    <w:pPr>
      <w:spacing w:after="320"/>
      <w:jc w:val="center"/>
    </w:pPr>
    <w:rPr>
      <w:sz w:val="22"/>
      <w:szCs w:val="22"/>
    </w:rPr>
  </w:style>
  <w:style w:type="paragraph" w:styleId="ab">
    <w:name w:val="footnote text"/>
    <w:basedOn w:val="a"/>
    <w:pPr>
      <w:ind w:firstLine="202"/>
      <w:jc w:val="both"/>
    </w:pPr>
    <w:rPr>
      <w:sz w:val="16"/>
      <w:szCs w:val="16"/>
    </w:rPr>
  </w:style>
  <w:style w:type="paragraph" w:customStyle="1" w:styleId="References">
    <w:name w:val="References"/>
    <w:basedOn w:val="a"/>
    <w:pPr>
      <w:numPr>
        <w:numId w:val="3"/>
      </w:numPr>
      <w:jc w:val="both"/>
    </w:pPr>
    <w:rPr>
      <w:sz w:val="18"/>
      <w:szCs w:val="16"/>
    </w:rPr>
  </w:style>
  <w:style w:type="paragraph" w:customStyle="1" w:styleId="IndexTerms">
    <w:name w:val="IndexTerms"/>
    <w:basedOn w:val="a"/>
    <w:next w:val="a"/>
    <w:pPr>
      <w:ind w:firstLine="202"/>
      <w:jc w:val="both"/>
    </w:pPr>
  </w:style>
  <w:style w:type="paragraph" w:styleId="ac">
    <w:name w:val="footer"/>
    <w:basedOn w:val="a"/>
    <w:pPr>
      <w:tabs>
        <w:tab w:val="center" w:pos="4320"/>
        <w:tab w:val="right" w:pos="8640"/>
      </w:tabs>
    </w:pPr>
  </w:style>
  <w:style w:type="paragraph" w:customStyle="1" w:styleId="Text">
    <w:name w:val="Text"/>
    <w:basedOn w:val="a"/>
    <w:pPr>
      <w:widowControl w:val="0"/>
      <w:ind w:firstLine="204"/>
      <w:jc w:val="both"/>
    </w:pPr>
  </w:style>
  <w:style w:type="paragraph" w:customStyle="1" w:styleId="FigureCaption">
    <w:name w:val="Figure Caption"/>
    <w:basedOn w:val="a"/>
    <w:pPr>
      <w:jc w:val="both"/>
    </w:pPr>
    <w:rPr>
      <w:sz w:val="18"/>
      <w:szCs w:val="16"/>
    </w:rPr>
  </w:style>
  <w:style w:type="paragraph" w:customStyle="1" w:styleId="TableTitle">
    <w:name w:val="Table Title"/>
    <w:basedOn w:val="a"/>
    <w:pPr>
      <w:jc w:val="center"/>
    </w:pPr>
    <w:rPr>
      <w:smallCaps/>
      <w:sz w:val="16"/>
      <w:szCs w:val="16"/>
    </w:rPr>
  </w:style>
  <w:style w:type="paragraph" w:customStyle="1" w:styleId="ReferenceHead">
    <w:name w:val="Reference Head"/>
    <w:basedOn w:val="1"/>
    <w:pPr>
      <w:numPr>
        <w:numId w:val="0"/>
      </w:numPr>
    </w:pPr>
  </w:style>
  <w:style w:type="paragraph" w:styleId="ad">
    <w:name w:val="header"/>
    <w:basedOn w:val="a"/>
    <w:pPr>
      <w:tabs>
        <w:tab w:val="center" w:pos="4320"/>
        <w:tab w:val="right" w:pos="8640"/>
      </w:tabs>
    </w:pPr>
  </w:style>
  <w:style w:type="paragraph" w:customStyle="1" w:styleId="Equation">
    <w:name w:val="Equation"/>
    <w:basedOn w:val="a"/>
    <w:next w:val="a"/>
    <w:pPr>
      <w:widowControl w:val="0"/>
      <w:tabs>
        <w:tab w:val="right" w:pos="5040"/>
      </w:tabs>
      <w:spacing w:line="252" w:lineRule="auto"/>
      <w:jc w:val="both"/>
    </w:pPr>
  </w:style>
  <w:style w:type="paragraph" w:styleId="ae">
    <w:name w:val="Body Text Indent"/>
    <w:basedOn w:val="a"/>
    <w:pPr>
      <w:ind w:left="630" w:hanging="630"/>
    </w:pPr>
    <w:rPr>
      <w:szCs w:val="24"/>
    </w:rPr>
  </w:style>
  <w:style w:type="paragraph" w:customStyle="1" w:styleId="FrameContents">
    <w:name w:val="Frame Contents"/>
    <w:basedOn w:val="a"/>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 w:type="paragraph" w:styleId="af">
    <w:name w:val="Balloon Text"/>
    <w:basedOn w:val="a"/>
    <w:link w:val="af0"/>
    <w:uiPriority w:val="99"/>
    <w:semiHidden/>
    <w:unhideWhenUsed/>
    <w:rsid w:val="00E6288E"/>
    <w:rPr>
      <w:rFonts w:ascii="宋体" w:eastAsia="宋体"/>
      <w:sz w:val="18"/>
      <w:szCs w:val="18"/>
    </w:rPr>
  </w:style>
  <w:style w:type="character" w:customStyle="1" w:styleId="af0">
    <w:name w:val="批注框文本 字符"/>
    <w:link w:val="af"/>
    <w:uiPriority w:val="99"/>
    <w:semiHidden/>
    <w:rsid w:val="00E6288E"/>
    <w:rPr>
      <w:rFonts w:ascii="宋体" w:eastAsia="宋体"/>
      <w:sz w:val="18"/>
      <w:szCs w:val="18"/>
      <w:lang w:eastAsia="en-US"/>
    </w:rPr>
  </w:style>
  <w:style w:type="character" w:styleId="af1">
    <w:name w:val="Placeholder Text"/>
    <w:basedOn w:val="a0"/>
    <w:uiPriority w:val="99"/>
    <w:unhideWhenUsed/>
    <w:rsid w:val="00D01EE8"/>
    <w:rPr>
      <w:color w:val="808080"/>
    </w:rPr>
  </w:style>
  <w:style w:type="character" w:styleId="af2">
    <w:name w:val="Unresolved Mention"/>
    <w:basedOn w:val="a0"/>
    <w:uiPriority w:val="99"/>
    <w:semiHidden/>
    <w:unhideWhenUsed/>
    <w:rsid w:val="002C1FC7"/>
    <w:rPr>
      <w:color w:val="605E5C"/>
      <w:shd w:val="clear" w:color="auto" w:fill="E1DFDD"/>
    </w:rPr>
  </w:style>
  <w:style w:type="paragraph" w:styleId="af3">
    <w:name w:val="Normal (Web)"/>
    <w:basedOn w:val="a"/>
    <w:uiPriority w:val="99"/>
    <w:semiHidden/>
    <w:unhideWhenUsed/>
    <w:rsid w:val="002C1FC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730865">
      <w:bodyDiv w:val="1"/>
      <w:marLeft w:val="0"/>
      <w:marRight w:val="0"/>
      <w:marTop w:val="0"/>
      <w:marBottom w:val="0"/>
      <w:divBdr>
        <w:top w:val="none" w:sz="0" w:space="0" w:color="auto"/>
        <w:left w:val="none" w:sz="0" w:space="0" w:color="auto"/>
        <w:bottom w:val="none" w:sz="0" w:space="0" w:color="auto"/>
        <w:right w:val="none" w:sz="0" w:space="0" w:color="auto"/>
      </w:divBdr>
      <w:divsChild>
        <w:div w:id="1728189828">
          <w:marLeft w:val="0"/>
          <w:marRight w:val="0"/>
          <w:marTop w:val="0"/>
          <w:marBottom w:val="0"/>
          <w:divBdr>
            <w:top w:val="none" w:sz="0" w:space="0" w:color="auto"/>
            <w:left w:val="none" w:sz="0" w:space="0" w:color="auto"/>
            <w:bottom w:val="none" w:sz="0" w:space="0" w:color="auto"/>
            <w:right w:val="none" w:sz="0" w:space="0" w:color="auto"/>
          </w:divBdr>
          <w:divsChild>
            <w:div w:id="137841238">
              <w:marLeft w:val="0"/>
              <w:marRight w:val="0"/>
              <w:marTop w:val="0"/>
              <w:marBottom w:val="0"/>
              <w:divBdr>
                <w:top w:val="none" w:sz="0" w:space="0" w:color="auto"/>
                <w:left w:val="none" w:sz="0" w:space="0" w:color="auto"/>
                <w:bottom w:val="none" w:sz="0" w:space="0" w:color="auto"/>
                <w:right w:val="none" w:sz="0" w:space="0" w:color="auto"/>
              </w:divBdr>
              <w:divsChild>
                <w:div w:id="39289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89835">
      <w:bodyDiv w:val="1"/>
      <w:marLeft w:val="0"/>
      <w:marRight w:val="0"/>
      <w:marTop w:val="0"/>
      <w:marBottom w:val="0"/>
      <w:divBdr>
        <w:top w:val="none" w:sz="0" w:space="0" w:color="auto"/>
        <w:left w:val="none" w:sz="0" w:space="0" w:color="auto"/>
        <w:bottom w:val="none" w:sz="0" w:space="0" w:color="auto"/>
        <w:right w:val="none" w:sz="0" w:space="0" w:color="auto"/>
      </w:divBdr>
      <w:divsChild>
        <w:div w:id="983924118">
          <w:marLeft w:val="0"/>
          <w:marRight w:val="0"/>
          <w:marTop w:val="0"/>
          <w:marBottom w:val="0"/>
          <w:divBdr>
            <w:top w:val="none" w:sz="0" w:space="0" w:color="auto"/>
            <w:left w:val="none" w:sz="0" w:space="0" w:color="auto"/>
            <w:bottom w:val="none" w:sz="0" w:space="0" w:color="auto"/>
            <w:right w:val="none" w:sz="0" w:space="0" w:color="auto"/>
          </w:divBdr>
          <w:divsChild>
            <w:div w:id="581599042">
              <w:marLeft w:val="0"/>
              <w:marRight w:val="0"/>
              <w:marTop w:val="0"/>
              <w:marBottom w:val="0"/>
              <w:divBdr>
                <w:top w:val="none" w:sz="0" w:space="0" w:color="auto"/>
                <w:left w:val="none" w:sz="0" w:space="0" w:color="auto"/>
                <w:bottom w:val="none" w:sz="0" w:space="0" w:color="auto"/>
                <w:right w:val="none" w:sz="0" w:space="0" w:color="auto"/>
              </w:divBdr>
              <w:divsChild>
                <w:div w:id="654840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49033">
      <w:bodyDiv w:val="1"/>
      <w:marLeft w:val="0"/>
      <w:marRight w:val="0"/>
      <w:marTop w:val="0"/>
      <w:marBottom w:val="0"/>
      <w:divBdr>
        <w:top w:val="none" w:sz="0" w:space="0" w:color="auto"/>
        <w:left w:val="none" w:sz="0" w:space="0" w:color="auto"/>
        <w:bottom w:val="none" w:sz="0" w:space="0" w:color="auto"/>
        <w:right w:val="none" w:sz="0" w:space="0" w:color="auto"/>
      </w:divBdr>
      <w:divsChild>
        <w:div w:id="299195419">
          <w:marLeft w:val="0"/>
          <w:marRight w:val="0"/>
          <w:marTop w:val="0"/>
          <w:marBottom w:val="0"/>
          <w:divBdr>
            <w:top w:val="none" w:sz="0" w:space="0" w:color="auto"/>
            <w:left w:val="none" w:sz="0" w:space="0" w:color="auto"/>
            <w:bottom w:val="none" w:sz="0" w:space="0" w:color="auto"/>
            <w:right w:val="none" w:sz="0" w:space="0" w:color="auto"/>
          </w:divBdr>
          <w:divsChild>
            <w:div w:id="88352224">
              <w:marLeft w:val="0"/>
              <w:marRight w:val="0"/>
              <w:marTop w:val="0"/>
              <w:marBottom w:val="0"/>
              <w:divBdr>
                <w:top w:val="none" w:sz="0" w:space="0" w:color="auto"/>
                <w:left w:val="none" w:sz="0" w:space="0" w:color="auto"/>
                <w:bottom w:val="none" w:sz="0" w:space="0" w:color="auto"/>
                <w:right w:val="none" w:sz="0" w:space="0" w:color="auto"/>
              </w:divBdr>
              <w:divsChild>
                <w:div w:id="212044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913940">
      <w:bodyDiv w:val="1"/>
      <w:marLeft w:val="0"/>
      <w:marRight w:val="0"/>
      <w:marTop w:val="0"/>
      <w:marBottom w:val="0"/>
      <w:divBdr>
        <w:top w:val="none" w:sz="0" w:space="0" w:color="auto"/>
        <w:left w:val="none" w:sz="0" w:space="0" w:color="auto"/>
        <w:bottom w:val="none" w:sz="0" w:space="0" w:color="auto"/>
        <w:right w:val="none" w:sz="0" w:space="0" w:color="auto"/>
      </w:divBdr>
      <w:divsChild>
        <w:div w:id="1186821519">
          <w:marLeft w:val="0"/>
          <w:marRight w:val="0"/>
          <w:marTop w:val="0"/>
          <w:marBottom w:val="0"/>
          <w:divBdr>
            <w:top w:val="none" w:sz="0" w:space="0" w:color="auto"/>
            <w:left w:val="none" w:sz="0" w:space="0" w:color="auto"/>
            <w:bottom w:val="none" w:sz="0" w:space="0" w:color="auto"/>
            <w:right w:val="none" w:sz="0" w:space="0" w:color="auto"/>
          </w:divBdr>
          <w:divsChild>
            <w:div w:id="857307827">
              <w:marLeft w:val="0"/>
              <w:marRight w:val="0"/>
              <w:marTop w:val="0"/>
              <w:marBottom w:val="0"/>
              <w:divBdr>
                <w:top w:val="none" w:sz="0" w:space="0" w:color="auto"/>
                <w:left w:val="none" w:sz="0" w:space="0" w:color="auto"/>
                <w:bottom w:val="none" w:sz="0" w:space="0" w:color="auto"/>
                <w:right w:val="none" w:sz="0" w:space="0" w:color="auto"/>
              </w:divBdr>
              <w:divsChild>
                <w:div w:id="86116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3486595">
      <w:bodyDiv w:val="1"/>
      <w:marLeft w:val="0"/>
      <w:marRight w:val="0"/>
      <w:marTop w:val="0"/>
      <w:marBottom w:val="0"/>
      <w:divBdr>
        <w:top w:val="none" w:sz="0" w:space="0" w:color="auto"/>
        <w:left w:val="none" w:sz="0" w:space="0" w:color="auto"/>
        <w:bottom w:val="none" w:sz="0" w:space="0" w:color="auto"/>
        <w:right w:val="none" w:sz="0" w:space="0" w:color="auto"/>
      </w:divBdr>
      <w:divsChild>
        <w:div w:id="1035083005">
          <w:marLeft w:val="0"/>
          <w:marRight w:val="0"/>
          <w:marTop w:val="0"/>
          <w:marBottom w:val="0"/>
          <w:divBdr>
            <w:top w:val="none" w:sz="0" w:space="0" w:color="auto"/>
            <w:left w:val="none" w:sz="0" w:space="0" w:color="auto"/>
            <w:bottom w:val="none" w:sz="0" w:space="0" w:color="auto"/>
            <w:right w:val="none" w:sz="0" w:space="0" w:color="auto"/>
          </w:divBdr>
          <w:divsChild>
            <w:div w:id="1381444256">
              <w:marLeft w:val="0"/>
              <w:marRight w:val="0"/>
              <w:marTop w:val="0"/>
              <w:marBottom w:val="0"/>
              <w:divBdr>
                <w:top w:val="none" w:sz="0" w:space="0" w:color="auto"/>
                <w:left w:val="none" w:sz="0" w:space="0" w:color="auto"/>
                <w:bottom w:val="none" w:sz="0" w:space="0" w:color="auto"/>
                <w:right w:val="none" w:sz="0" w:space="0" w:color="auto"/>
              </w:divBdr>
              <w:divsChild>
                <w:div w:id="60118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738941">
      <w:bodyDiv w:val="1"/>
      <w:marLeft w:val="0"/>
      <w:marRight w:val="0"/>
      <w:marTop w:val="0"/>
      <w:marBottom w:val="0"/>
      <w:divBdr>
        <w:top w:val="none" w:sz="0" w:space="0" w:color="auto"/>
        <w:left w:val="none" w:sz="0" w:space="0" w:color="auto"/>
        <w:bottom w:val="none" w:sz="0" w:space="0" w:color="auto"/>
        <w:right w:val="none" w:sz="0" w:space="0" w:color="auto"/>
      </w:divBdr>
      <w:divsChild>
        <w:div w:id="129136125">
          <w:marLeft w:val="0"/>
          <w:marRight w:val="0"/>
          <w:marTop w:val="0"/>
          <w:marBottom w:val="0"/>
          <w:divBdr>
            <w:top w:val="none" w:sz="0" w:space="0" w:color="auto"/>
            <w:left w:val="none" w:sz="0" w:space="0" w:color="auto"/>
            <w:bottom w:val="none" w:sz="0" w:space="0" w:color="auto"/>
            <w:right w:val="none" w:sz="0" w:space="0" w:color="auto"/>
          </w:divBdr>
          <w:divsChild>
            <w:div w:id="1714378388">
              <w:marLeft w:val="0"/>
              <w:marRight w:val="0"/>
              <w:marTop w:val="0"/>
              <w:marBottom w:val="0"/>
              <w:divBdr>
                <w:top w:val="none" w:sz="0" w:space="0" w:color="auto"/>
                <w:left w:val="none" w:sz="0" w:space="0" w:color="auto"/>
                <w:bottom w:val="none" w:sz="0" w:space="0" w:color="auto"/>
                <w:right w:val="none" w:sz="0" w:space="0" w:color="auto"/>
              </w:divBdr>
              <w:divsChild>
                <w:div w:id="47993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331040">
      <w:bodyDiv w:val="1"/>
      <w:marLeft w:val="0"/>
      <w:marRight w:val="0"/>
      <w:marTop w:val="0"/>
      <w:marBottom w:val="0"/>
      <w:divBdr>
        <w:top w:val="none" w:sz="0" w:space="0" w:color="auto"/>
        <w:left w:val="none" w:sz="0" w:space="0" w:color="auto"/>
        <w:bottom w:val="none" w:sz="0" w:space="0" w:color="auto"/>
        <w:right w:val="none" w:sz="0" w:space="0" w:color="auto"/>
      </w:divBdr>
      <w:divsChild>
        <w:div w:id="1002777064">
          <w:marLeft w:val="0"/>
          <w:marRight w:val="0"/>
          <w:marTop w:val="0"/>
          <w:marBottom w:val="0"/>
          <w:divBdr>
            <w:top w:val="none" w:sz="0" w:space="0" w:color="auto"/>
            <w:left w:val="none" w:sz="0" w:space="0" w:color="auto"/>
            <w:bottom w:val="none" w:sz="0" w:space="0" w:color="auto"/>
            <w:right w:val="none" w:sz="0" w:space="0" w:color="auto"/>
          </w:divBdr>
          <w:divsChild>
            <w:div w:id="284580635">
              <w:marLeft w:val="0"/>
              <w:marRight w:val="0"/>
              <w:marTop w:val="0"/>
              <w:marBottom w:val="0"/>
              <w:divBdr>
                <w:top w:val="none" w:sz="0" w:space="0" w:color="auto"/>
                <w:left w:val="none" w:sz="0" w:space="0" w:color="auto"/>
                <w:bottom w:val="none" w:sz="0" w:space="0" w:color="auto"/>
                <w:right w:val="none" w:sz="0" w:space="0" w:color="auto"/>
              </w:divBdr>
              <w:divsChild>
                <w:div w:id="130924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486128">
      <w:bodyDiv w:val="1"/>
      <w:marLeft w:val="0"/>
      <w:marRight w:val="0"/>
      <w:marTop w:val="0"/>
      <w:marBottom w:val="0"/>
      <w:divBdr>
        <w:top w:val="none" w:sz="0" w:space="0" w:color="auto"/>
        <w:left w:val="none" w:sz="0" w:space="0" w:color="auto"/>
        <w:bottom w:val="none" w:sz="0" w:space="0" w:color="auto"/>
        <w:right w:val="none" w:sz="0" w:space="0" w:color="auto"/>
      </w:divBdr>
      <w:divsChild>
        <w:div w:id="103617303">
          <w:marLeft w:val="0"/>
          <w:marRight w:val="0"/>
          <w:marTop w:val="0"/>
          <w:marBottom w:val="0"/>
          <w:divBdr>
            <w:top w:val="none" w:sz="0" w:space="0" w:color="auto"/>
            <w:left w:val="none" w:sz="0" w:space="0" w:color="auto"/>
            <w:bottom w:val="none" w:sz="0" w:space="0" w:color="auto"/>
            <w:right w:val="none" w:sz="0" w:space="0" w:color="auto"/>
          </w:divBdr>
          <w:divsChild>
            <w:div w:id="474220735">
              <w:marLeft w:val="0"/>
              <w:marRight w:val="0"/>
              <w:marTop w:val="0"/>
              <w:marBottom w:val="0"/>
              <w:divBdr>
                <w:top w:val="none" w:sz="0" w:space="0" w:color="auto"/>
                <w:left w:val="none" w:sz="0" w:space="0" w:color="auto"/>
                <w:bottom w:val="none" w:sz="0" w:space="0" w:color="auto"/>
                <w:right w:val="none" w:sz="0" w:space="0" w:color="auto"/>
              </w:divBdr>
              <w:divsChild>
                <w:div w:id="96242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firstauthor@i1.org"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firstauthor@i1.org"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computer.org/about/contact" TargetMode="External"/><Relationship Id="rId4" Type="http://schemas.openxmlformats.org/officeDocument/2006/relationships/webSettings" Target="webSettings.xml"/><Relationship Id="rId9" Type="http://schemas.openxmlformats.org/officeDocument/2006/relationships/hyperlink" Target="http://www.pamitc.org/documents/mermin.pdf" TargetMode="External"/><Relationship Id="rId14" Type="http://schemas.openxmlformats.org/officeDocument/2006/relationships/footer" Target="footer2.xml"/><Relationship Id="rId1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2205</Words>
  <Characters>12572</Characters>
  <Application>Microsoft Office Word</Application>
  <DocSecurity>0</DocSecurity>
  <Lines>104</Lines>
  <Paragraphs>29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vt:lpstr>
    </vt:vector>
  </TitlesOfParts>
  <Manager/>
  <Company/>
  <LinksUpToDate>false</LinksUpToDate>
  <CharactersWithSpaces>14748</CharactersWithSpaces>
  <SharedDoc>false</SharedDoc>
  <HyperlinkBase/>
  <HLinks>
    <vt:vector size="6" baseType="variant">
      <vt:variant>
        <vt:i4>6619256</vt:i4>
      </vt:variant>
      <vt:variant>
        <vt:i4>0</vt:i4>
      </vt:variant>
      <vt:variant>
        <vt:i4>0</vt:i4>
      </vt:variant>
      <vt:variant>
        <vt:i4>5</vt:i4>
      </vt:variant>
      <vt:variant>
        <vt:lpwstr>http://www.pamitc.org/documents/mermin.pdf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IEEE/CVF CVPR</dc:subject>
  <dc:creator/>
  <cp:keywords/>
  <dc:description/>
  <cp:lastModifiedBy>Wu Jianxin</cp:lastModifiedBy>
  <cp:revision>24</cp:revision>
  <cp:lastPrinted>2021-05-11T23:29:00Z</cp:lastPrinted>
  <dcterms:created xsi:type="dcterms:W3CDTF">2021-05-11T23:32:00Z</dcterms:created>
  <dcterms:modified xsi:type="dcterms:W3CDTF">2023-10-25T05:09:00Z</dcterms:modified>
  <cp:category/>
</cp:coreProperties>
</file>