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342019" w14:textId="77777777" w:rsidR="00F66F7E" w:rsidRDefault="003142D9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1523C1B4" wp14:editId="17CAE25F">
                <wp:simplePos x="0" y="0"/>
                <wp:positionH relativeFrom="margin">
                  <wp:align>center</wp:align>
                </wp:positionH>
                <wp:positionV relativeFrom="page">
                  <wp:posOffset>914400</wp:posOffset>
                </wp:positionV>
                <wp:extent cx="6281420" cy="1051560"/>
                <wp:effectExtent l="0" t="0" r="0" b="0"/>
                <wp:wrapTopAndBottom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1420" cy="16402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46ED6" w14:textId="77777777" w:rsidR="00F66F7E" w:rsidRPr="004E0E37" w:rsidRDefault="00F66F7E">
                            <w:pPr>
                              <w:pStyle w:val="Heading"/>
                              <w:rPr>
                                <w:lang w:val="en-GB"/>
                              </w:rPr>
                            </w:pPr>
                          </w:p>
                          <w:p w14:paraId="2D3CDA04" w14:textId="77777777" w:rsidR="00F66F7E" w:rsidRPr="00833AF4" w:rsidRDefault="00F66F7E">
                            <w:pPr>
                              <w:pStyle w:val="Heading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基於邊緣運算之剪耳辨識智慧誘捕籠：選擇性捕獲未絕育流浪貓</w:t>
                            </w:r>
                          </w:p>
                          <w:p w14:paraId="12848FDE" w14:textId="77777777" w:rsidR="00F66F7E" w:rsidRPr="004E0E37" w:rsidRDefault="00F66F7E"/>
                          <w:p w14:paraId="028FE4E9" w14:textId="77777777" w:rsidR="00F66F7E" w:rsidRPr="004E0E37" w:rsidRDefault="00F66F7E"/>
                          <w:p w14:paraId="1F246AB8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國立○○大學　○○○○○○○○○　○○○</w:t>
                            </w:r>
                          </w:p>
                          <w:p w14:paraId="73A61C26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</w:p>
                          <w:p w14:paraId="4BDDFA36" w14:textId="127B1C56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</w:p>
                          <w:p w14:paraId="4792418C" w14:textId="653D6B40" w:rsidR="00104664" w:rsidRP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5767413" w14:textId="77777777" w:rsidR="00F66F7E" w:rsidRPr="004E0E37" w:rsidRDefault="00F66F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523C1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in;width:494.6pt;height:82.80pt;z-index:25165875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" stroked="f">
                <v:fill opacity="0"/>
                <v:path arrowok="t"/>
                <v:textbox inset="0,0,0,0">
                  <w:txbxContent>
                    <w:p w14:paraId="46A46ED6" w14:textId="77777777" w:rsidR="00F66F7E" w:rsidRPr="004E0E37" w:rsidRDefault="00F66F7E">
                      <w:pPr>
                        <w:pStyle w:val="Heading"/>
                        <w:rPr>
                          <w:lang w:val="en-GB"/>
                        </w:rPr>
                      </w:pPr>
                    </w:p>
                    <w:p w14:paraId="2D3CDA04" w14:textId="77777777" w:rsidR="00F66F7E" w:rsidRPr="00833AF4" w:rsidRDefault="00F66F7E">
                      <w:pPr>
                        <w:pStyle w:val="Heading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基於邊緣運算之剪耳辨識智慧誘捕籠：選擇性捕獲未絕育流浪貓</w:t>
                      </w:r>
                    </w:p>
                    <w:p w14:paraId="12848FDE" w14:textId="77777777" w:rsidR="00F66F7E" w:rsidRPr="004E0E37" w:rsidRDefault="00F66F7E"/>
                    <w:p w14:paraId="028FE4E9" w14:textId="77777777" w:rsidR="00F66F7E" w:rsidRPr="004E0E37" w:rsidRDefault="00F66F7E"/>
                    <w:p w14:paraId="1F246AB8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sz w:val="24"/>
                          <w:szCs w:val="24"/>
                        </w:rPr>
                        <w:t xml:space="preserve">國立○○大學　○○○○○○○○○　○○○</w:t>
                      </w:r>
                    </w:p>
                    <w:p w14:paraId="73A61C26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</w:p>
                    <w:p w14:paraId="4BDDFA36" w14:textId="127B1C56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</w:p>
                    <w:p w14:paraId="4792418C" w14:textId="653D6B40" w:rsidR="00104664" w:rsidRP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sz w:val="28"/>
                          <w:szCs w:val="28"/>
                        </w:rPr>
                      </w:pPr>
                    </w:p>
                    <w:p w14:paraId="65767413" w14:textId="77777777" w:rsidR="00F66F7E" w:rsidRPr="004E0E37" w:rsidRDefault="00F66F7E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05C0443D" w14:textId="77777777" w:rsidR="00F66F7E" w:rsidRDefault="00F66F7E">
      <w:pPr>
        <w:jc w:val="center"/>
      </w:pPr>
      <w:r>
        <w:rPr>
          <w:b/>
          <w:sz w:val="24"/>
        </w:rPr>
        <w:t>摘要</w:t>
      </w:r>
    </w:p>
    <w:p w14:paraId="0BEE06D5" w14:textId="796051AC" w:rsidR="00F66F7E" w:rsidRDefault="005D61CD" w:rsidP="005D61CD">
      <w:pPr>
        <w:ind w:firstLine="202"/>
        <w:jc w:val="both"/>
        <w:rPr>
          <w:i/>
        </w:rPr>
      </w:pPr>
      <w:r>
        <w:rPr>
          <w:rFonts w:eastAsia="新細明體"/>
          <w:i w:val="0"/>
        </w:rPr>
        <w:t>TNR（誘捕、絕育、回置）計畫以剪除單側耳尖標記已絕育之貓，然現行誘捕籠會捕獲所有進籠之動物，使已絕育個體遭重複捕獲。本研究提出一套於裝置端自主決定是否關門之誘捕籠：以 AMB82-mini 主控板之神經網路加速器（NPU）執行 YOLOv7-tiny，偵測貓臉並將每一耳分類為剪耳或未剪耳，再經兩段式判定（逐幀結構檢查與多幀證據累積）做出捕獲決策。初步實測 116 次造訪中，69% 未取得任何有效幀；逐幀影像檢視顯示其主因為相機位置，而非模型能力。後續將調整相機位置、以更多剪耳樣本與負樣本重新訓練，並評估「證據不足不關門」之棄權規則，以各類別召回率對照多數類基準線報告結果。</w:t>
      </w:r>
    </w:p>
    <w:p>
      <w:pPr>
        <w:pStyle w:val="1"/>
      </w:pPr>
      <w:r>
        <w:rPr>
          <w:rFonts w:eastAsia="新細明體"/>
          <w:b/>
          <w:sz w:val="24"/>
        </w:rPr>
        <w:t>緒論</w:t>
      </w:r>
    </w:p>
    <w:p>
      <w:pPr>
        <w:pStyle w:val="Text"/>
      </w:pPr>
      <w:r>
        <w:rPr>
          <w:rFonts w:eastAsia="新細明體"/>
        </w:rPr>
        <w:t>遊蕩家貓為高效率之掠食者，僅美國每年即估計造成 13 至 40 億隻鳥類及 63 至 223 億隻哺乳動物死亡 [6]；流浪犬貓亦涉及人畜共通疾病、意外事故與咬傷 [2]。臺灣自 2017 年禁止以族群控制為目的之收容安樂死後，收容所獸醫工作量超出法定上限之縣市由 2 個增至 6 個 [10]。於族群管理手段中，生育控制為研究最多且報告效果最大者 [8]，然其前提在於能捕獲</w:t>
      </w:r>
      <w:r>
        <w:rPr>
          <w:rFonts w:eastAsia="新細明體"/>
          <w:b/>
        </w:rPr>
        <w:t>尚未絕育</w:t>
      </w:r>
      <w:r>
        <w:rPr>
          <w:rFonts w:eastAsia="新細明體"/>
        </w:rPr>
        <w:t>之個體。</w:t>
      </w:r>
    </w:p>
    <w:p>
      <w:pPr>
        <w:pStyle w:val="Text"/>
      </w:pPr>
      <w:r>
        <w:rPr>
          <w:rFonts w:eastAsia="新細明體"/>
        </w:rPr>
        <w:t>TNR 慣例於絕育後剪除單側耳尖，使人員可遠距辨識。然而誘捕籠本身無法辨識此標記，凡進籠之動物皆會觸發關門。隨 TNR 持續實施，已絕育個體比例逐漸升高（本研究測試場域約八成，為場域整體估計），多數捕獲均為須人工釋放之重複捕獲，徒增人力並造成動物緊迫。本研究因此使誘捕籠自行判斷：</w:t>
      </w:r>
      <w:r>
        <w:rPr>
          <w:rFonts w:eastAsia="新細明體"/>
          <w:b/>
        </w:rPr>
        <w:t>僅捕獲雙耳皆未剪之個體</w:t>
      </w:r>
      <w:r>
        <w:rPr>
          <w:rFonts w:eastAsia="新細明體"/>
        </w:rPr>
        <w:t>。</w:t>
      </w:r>
    </w:p>
    <w:p>
      <w:pPr>
        <w:pStyle w:val="Text"/>
      </w:pPr>
      <w:r>
        <w:rPr>
          <w:rFonts w:eastAsia="新細明體"/>
        </w:rPr>
        <w:t>此問題之判別線索僅為單耳上一小段平截邊緣；裝置無人值守且經常離線；且兩類誤判代價不對稱：誤捕已絕育個體無法回復，漏捕之個體則會再度造訪。因此判定不確定時</w:t>
      </w:r>
      <w:r>
        <w:rPr>
          <w:rFonts w:eastAsia="新細明體"/>
          <w:b/>
        </w:rPr>
        <w:t>不應</w:t>
      </w:r>
      <w:r>
        <w:rPr>
          <w:rFonts w:eastAsia="新細明體"/>
        </w:rPr>
        <w:t>關門。</w:t>
      </w:r>
    </w:p>
    <w:p>
      <w:pPr>
        <w:pStyle w:val="Text"/>
      </w:pPr>
      <w:r>
        <w:rPr>
          <w:rFonts w:eastAsia="新細明體"/>
        </w:rPr>
        <w:t>既有研究僅涵蓋此問題之局部。Huang 等人 [3] 以 YOLO 集成與多數決分類 TNR 剪耳影像，mAP 逾 90%，惟為離線處理絕育手術前後拍攝之影像。Besala 等人 [1] 於 Jetson Nano 上以 YOLOv7-tiny 結合箱型陷阱捕捉野豬，約 4 FPS，僅需物種層級之辨識。WildFiT [7] 指出相機陷阱模型於場域轉移下效能下降、須現地調適；雲端卸載 [5] 則以穩定連線為前提，而餵食點之網路品質通常不穩定。就作者所知，目前尚無於籠內微控制器級 NPU 上辨識剪耳、並公開實際造訪資料之系統。</w:t>
      </w:r>
    </w:p>
    <w:p>
      <w:pPr>
        <w:pStyle w:val="Text"/>
      </w:pPr>
      <w:r>
        <w:rPr>
          <w:rFonts w:eastAsia="新細明體"/>
        </w:rPr>
        <w:t>兩台裝置之初步部署（116 次造訪）已揭示實際瓶頸：69% 之造訪無任何幀通過結構檢查，且系統從未判定「已絕育」。由於每一幀皆有保存，可逐次回放造訪（圖 1）：貓僅於行經籠內中段時正臉大小適中；一旦走到相機所在之飼料碗前，頭部貼近鏡頭，模型即無任何偵測。結構檢查之拒絕僅 26% 源於信心不足，其餘為結構性原因（貓臉或耳朵數量、位置重疊），無法藉調降門檻解決。本研究之貢獻為：(1) 裝置端兩段式判定架構；(2) 考量量化之模型選型指標；(3) 於類別不平衡下仍能誠實評估之場域評估協定。</w:t>
      </w:r>
    </w:p>
    <w:p>
      <w:pPr>
        <w:pStyle w:val="1"/>
      </w:pPr>
      <w:r>
        <w:rPr>
          <w:rFonts w:eastAsia="新細明體"/>
          <w:b/>
          <w:sz w:val="24"/>
        </w:rPr>
        <w:t>方法</w:t>
      </w:r>
    </w:p>
    <w:p>
      <w:pPr>
        <w:pStyle w:val="2"/>
      </w:pPr>
      <w:r>
        <w:rPr>
          <w:rFonts w:eastAsia="新細明體"/>
          <w:b/>
          <w:sz w:val="22"/>
        </w:rPr>
        <w:t>系統概述</w:t>
      </w:r>
    </w:p>
    <w:p>
      <w:pPr>
        <w:pStyle w:val="Text"/>
      </w:pPr>
      <w:r>
        <w:rPr>
          <w:rFonts w:eastAsia="新細明體"/>
        </w:rPr>
        <w:t>AMB82-mini（Realtek RTL8735B）以其 NPU 對 640×640 影像串流執行推論。入口紅外線感測器啟動觀察，籠內紅外線感測器作為關門之安全條件（繼電器驅動馬達，1.2 秒關閉）；每筆判定先寫入 SD 卡再上傳，捕獲動作不依賴網路。</w:t>
      </w:r>
    </w:p>
    <w:p>
      <w:pPr>
        <w:pStyle w:val="2"/>
      </w:pPr>
      <w:r>
        <w:rPr>
          <w:rFonts w:eastAsia="新細明體"/>
          <w:b/>
          <w:sz w:val="22"/>
        </w:rPr>
        <w:t>偵測模型與訓練資料</w:t>
      </w:r>
    </w:p>
    <w:p>
      <w:pPr>
        <w:pStyle w:val="Text"/>
      </w:pPr>
      <w:r>
        <w:rPr>
          <w:rFonts w:eastAsia="新細明體"/>
        </w:rPr>
        <w:t>YOLOv7-tiny [9] 偵測三類別：貓臉、剪耳、未剪耳。訓練分兩階段：先以一般貓影像（原始影像 1,729 張）學習通用特徵，再以籠內影像（606 張，其中僅 144 張含剪耳）微調。剪耳樣本數量為目前主要之資料限制。</w:t>
      </w:r>
    </w:p>
    <w:p>
      <w:pPr>
        <w:pStyle w:val="2"/>
      </w:pPr>
      <w:r>
        <w:rPr>
          <w:rFonts w:eastAsia="新細明體"/>
          <w:b/>
          <w:sz w:val="22"/>
        </w:rPr>
        <w:t>兩段式判定</w:t>
      </w:r>
    </w:p>
    <w:p>
      <w:pPr>
        <w:pStyle w:val="Text"/>
      </w:pPr>
      <w:r>
        <w:rPr>
          <w:rFonts w:eastAsia="新細明體"/>
          <w:b/>
        </w:rPr>
        <w:t>結構檢查。</w:t>
      </w:r>
      <w:r>
        <w:rPr>
          <w:rFonts w:eastAsia="新細明體"/>
        </w:rPr>
        <w:t>一幀須恰含一個貓臉與兩個耳朵、兩耳均與貓臉重疊、非雙耳皆為剪耳（TNR 僅剪單耳），且信心值達貓臉 65、耳朵 50，方為有效幀。</w:t>
      </w:r>
      <w:r>
        <w:rPr>
          <w:rFonts w:eastAsia="新細明體"/>
          <w:b/>
        </w:rPr>
        <w:t>證據累積。</w:t>
      </w:r>
      <w:r>
        <w:rPr>
          <w:rFonts w:eastAsia="新細明體"/>
        </w:rPr>
        <w:t>計數間隔至少 1 秒之有效幀，於 6 秒觀察窗內（實測幀間隔 0.70 秒，約 9 幀）累積剪耳信心 ≥75 達 2 幀或 ≥65 達 3 幀，即判定已絕育；否則現行韌體視為未絕育並關門。本研究將加入</w:t>
      </w:r>
      <w:r>
        <w:rPr>
          <w:rFonts w:eastAsia="新細明體"/>
          <w:b/>
        </w:rPr>
        <w:t>棄權</w:t>
      </w:r>
      <w:r>
        <w:rPr>
          <w:rFonts w:eastAsia="新細明體"/>
        </w:rPr>
        <w:t>規則，先以保存之逐幀資料離線回放評估：無任何有效幀之造訪標記為「不確定」，不關門。</w:t>
      </w:r>
    </w:p>
    <w:p>
      <w:pPr>
        <w:pStyle w:val="2"/>
      </w:pPr>
      <w:r>
        <w:rPr>
          <w:rFonts w:eastAsia="新細明體"/>
          <w:b/>
          <w:sz w:val="22"/>
        </w:rPr>
        <w:t>考量量化之模型選型</w:t>
      </w:r>
    </w:p>
    <w:p>
      <w:pPr>
        <w:pStyle w:val="Text"/>
      </w:pPr>
      <w:r>
        <w:rPr>
          <w:rFonts w:eastAsia="新細明體"/>
        </w:rPr>
        <w:t>部署模型經 int16 量化後於 NPU 執行，而韌體以固定信心門檻判定，故單看 mAP 會產生誤導；本研究以較嚴格之 INT8 量化 [4] 評估各候選架構。本研究定義</w:t>
      </w:r>
      <w:r>
        <w:rPr>
          <w:rFonts w:eastAsia="新細明體"/>
          <w:b/>
        </w:rPr>
        <w:t>決策層覆蓋率</w:t>
      </w:r>
      <w:r>
        <w:rPr>
          <w:rFonts w:eastAsia="新細明體"/>
        </w:rPr>
        <w:t>：測試影像中，偵測結果可組成通過門檻之「一臉兩耳」結構之比例，並比較量化前後之差異（表 1）。RT-DETR-L [11] 之剪耳 AP 最高，然量化後信心值整體壓縮至門檻以下，覆蓋率降為 0；YOLOv7-tiny 保留 84% 之覆蓋率，且為唯一受 NPU 支援之候選架構。</w:t>
      </w:r>
    </w:p>
    <w:p>
      <w:pPr>
        <w:pStyle w:val="Text"/>
        <w:spacing w:after="40"/>
        <w:ind w:firstLine="0"/>
        <w:jc w:val="center"/>
      </w:pPr>
      <w:r>
        <w:rPr>
          <w:rFonts w:eastAsia="新細明體"/>
          <w:sz w:val="18"/>
        </w:rPr>
        <w:t>表 1　候選偵測架構於測試集之結果（含剪耳影像 15 張；YOLOv7-tiny 剪耳 AP50 之 bootstrap 信賴區間達 0.11–0.60）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000000"/>
          <w:bottom w:val="single" w:sz="8" w:space="0" w:color="000000"/>
        </w:tblBorders>
      </w:tblPr>
      <w:tblGrid>
        <w:gridCol w:w="2474"/>
        <w:gridCol w:w="2474"/>
        <w:gridCol w:w="2474"/>
        <w:gridCol w:w="2474"/>
      </w:tblGrid>
      <w:tr>
        <w:tc>
          <w:tcPr>
            <w:tcW w:type="dxa" w:w="1368"/>
            <w:tcBorders>
              <w:bottom w:val="single" w:sz="4" w:space="0" w:color="000000"/>
            </w:tcBorders>
          </w:tcPr>
          <w:p>
            <w:pPr>
              <w:spacing w:after="0" w:before="0"/>
              <w:jc w:val="left"/>
            </w:pPr>
            <w:r>
              <w:rPr>
                <w:rFonts w:eastAsia="新細明體"/>
                <w:b/>
                <w:sz w:val="16"/>
              </w:rPr>
              <w:t>架構</w:t>
            </w:r>
          </w:p>
        </w:tc>
        <w:tc>
          <w:tcPr>
            <w:tcW w:type="dxa" w:w="1008"/>
            <w:tcBorders>
              <w:bottom w:val="single" w:sz="4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b/>
                <w:sz w:val="16"/>
              </w:rPr>
              <w:t>剪耳 AP50</w:t>
            </w:r>
          </w:p>
        </w:tc>
        <w:tc>
          <w:tcPr>
            <w:tcW w:type="dxa" w:w="1512"/>
            <w:tcBorders>
              <w:bottom w:val="single" w:sz="4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b/>
                <w:sz w:val="16"/>
              </w:rPr>
              <w:t>覆蓋率 fp32→INT8</w:t>
            </w:r>
          </w:p>
        </w:tc>
        <w:tc>
          <w:tcPr>
            <w:tcW w:type="dxa" w:w="576"/>
            <w:tcBorders>
              <w:bottom w:val="single" w:sz="4" w:space="0" w:color="000000"/>
            </w:tcBorders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b/>
                <w:sz w:val="16"/>
              </w:rPr>
              <w:t>NPU</w:t>
            </w:r>
          </w:p>
        </w:tc>
      </w:tr>
      <w:tr>
        <w:tc>
          <w:tcPr>
            <w:tcW w:type="dxa" w:w="1368"/>
          </w:tcPr>
          <w:p>
            <w:pPr>
              <w:spacing w:after="0" w:before="0"/>
              <w:jc w:val="left"/>
            </w:pPr>
            <w:r>
              <w:rPr>
                <w:rFonts w:eastAsia="新細明體"/>
                <w:b/>
                <w:sz w:val="16"/>
              </w:rPr>
              <w:t>YOLOv7-tiny</w:t>
            </w:r>
          </w:p>
        </w:tc>
        <w:tc>
          <w:tcPr>
            <w:tcW w:type="dxa" w:w="1008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0.377</w:t>
            </w:r>
          </w:p>
        </w:tc>
        <w:tc>
          <w:tcPr>
            <w:tcW w:type="dxa" w:w="1512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0.47 → 0.40</w:t>
            </w:r>
          </w:p>
        </w:tc>
        <w:tc>
          <w:tcPr>
            <w:tcW w:type="dxa" w:w="576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支援</w:t>
            </w:r>
          </w:p>
        </w:tc>
      </w:tr>
      <w:tr>
        <w:tc>
          <w:tcPr>
            <w:tcW w:type="dxa" w:w="1368"/>
          </w:tcPr>
          <w:p>
            <w:pPr>
              <w:spacing w:after="0" w:before="0"/>
              <w:jc w:val="left"/>
            </w:pPr>
            <w:r>
              <w:rPr>
                <w:rFonts w:eastAsia="新細明體"/>
                <w:sz w:val="16"/>
              </w:rPr>
              <w:t>YOLO26n</w:t>
            </w:r>
          </w:p>
        </w:tc>
        <w:tc>
          <w:tcPr>
            <w:tcW w:type="dxa" w:w="1008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0.493</w:t>
            </w:r>
          </w:p>
        </w:tc>
        <w:tc>
          <w:tcPr>
            <w:tcW w:type="dxa" w:w="1512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0.27 → 0.29</w:t>
            </w:r>
          </w:p>
        </w:tc>
        <w:tc>
          <w:tcPr>
            <w:tcW w:type="dxa" w:w="576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否</w:t>
            </w:r>
          </w:p>
        </w:tc>
      </w:tr>
      <w:tr>
        <w:tc>
          <w:tcPr>
            <w:tcW w:type="dxa" w:w="1368"/>
          </w:tcPr>
          <w:p>
            <w:pPr>
              <w:spacing w:after="0" w:before="0"/>
              <w:jc w:val="left"/>
            </w:pPr>
            <w:r>
              <w:rPr>
                <w:rFonts w:eastAsia="新細明體"/>
                <w:sz w:val="16"/>
              </w:rPr>
              <w:t>RT-DETR-L</w:t>
            </w:r>
          </w:p>
        </w:tc>
        <w:tc>
          <w:tcPr>
            <w:tcW w:type="dxa" w:w="1008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0.508</w:t>
            </w:r>
          </w:p>
        </w:tc>
        <w:tc>
          <w:tcPr>
            <w:tcW w:type="dxa" w:w="1512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0.54 → 0.00</w:t>
            </w:r>
          </w:p>
        </w:tc>
        <w:tc>
          <w:tcPr>
            <w:tcW w:type="dxa" w:w="576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否</w:t>
            </w:r>
          </w:p>
        </w:tc>
      </w:tr>
      <w:tr>
        <w:tc>
          <w:tcPr>
            <w:tcW w:type="dxa" w:w="1368"/>
          </w:tcPr>
          <w:p>
            <w:pPr>
              <w:spacing w:after="0" w:before="0"/>
              <w:jc w:val="left"/>
            </w:pPr>
            <w:r>
              <w:rPr>
                <w:rFonts w:eastAsia="新細明體"/>
                <w:sz w:val="16"/>
              </w:rPr>
              <w:t>Faster R-CNN</w:t>
            </w:r>
          </w:p>
        </w:tc>
        <w:tc>
          <w:tcPr>
            <w:tcW w:type="dxa" w:w="1008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0.505</w:t>
            </w:r>
          </w:p>
        </w:tc>
        <w:tc>
          <w:tcPr>
            <w:tcW w:type="dxa" w:w="1512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0.52 → 0.48</w:t>
            </w:r>
          </w:p>
        </w:tc>
        <w:tc>
          <w:tcPr>
            <w:tcW w:type="dxa" w:w="576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否</w:t>
            </w:r>
          </w:p>
        </w:tc>
      </w:tr>
      <w:tr>
        <w:tc>
          <w:tcPr>
            <w:tcW w:type="dxa" w:w="1368"/>
          </w:tcPr>
          <w:p>
            <w:pPr>
              <w:spacing w:after="0" w:before="0"/>
              <w:jc w:val="left"/>
            </w:pPr>
            <w:r>
              <w:rPr>
                <w:rFonts w:eastAsia="新細明體"/>
                <w:sz w:val="16"/>
              </w:rPr>
              <w:t>SSDLite</w:t>
            </w:r>
          </w:p>
        </w:tc>
        <w:tc>
          <w:tcPr>
            <w:tcW w:type="dxa" w:w="1008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0.123</w:t>
            </w:r>
          </w:p>
        </w:tc>
        <w:tc>
          <w:tcPr>
            <w:tcW w:type="dxa" w:w="1512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0.01 → 0.00</w:t>
            </w:r>
          </w:p>
        </w:tc>
        <w:tc>
          <w:tcPr>
            <w:tcW w:type="dxa" w:w="576"/>
          </w:tcPr>
          <w:p>
            <w:pPr>
              <w:spacing w:after="0" w:before="0"/>
              <w:jc w:val="center"/>
            </w:pPr>
            <w:r>
              <w:rPr>
                <w:rFonts w:eastAsia="新細明體"/>
                <w:sz w:val="16"/>
              </w:rPr>
              <w:t>否</w:t>
            </w:r>
          </w:p>
        </w:tc>
      </w:tr>
    </w:tbl>
    <w:p>
      <w:pPr>
        <w:pStyle w:val="2"/>
      </w:pPr>
      <w:r>
        <w:rPr>
          <w:rFonts w:eastAsia="新細明體"/>
          <w:b/>
          <w:sz w:val="22"/>
        </w:rPr>
        <w:t>評估規劃</w:t>
      </w:r>
    </w:p>
    <w:p>
      <w:pPr>
        <w:pStyle w:val="Text"/>
      </w:pPr>
      <w:r>
        <w:rPr>
          <w:rFonts w:eastAsia="新細明體"/>
          <w:b/>
        </w:rPr>
        <w:t>模型層</w:t>
      </w:r>
      <w:r>
        <w:rPr>
          <w:rFonts w:eastAsia="新細明體"/>
        </w:rPr>
        <w:t>：各類別 AP 及 bootstrap 信賴區間。</w:t>
      </w:r>
      <w:r>
        <w:rPr>
          <w:rFonts w:eastAsia="新細明體"/>
          <w:b/>
        </w:rPr>
        <w:t>造訪層</w:t>
      </w:r>
      <w:r>
        <w:rPr>
          <w:rFonts w:eastAsia="新細明體"/>
        </w:rPr>
        <w:t>：依保存之逐幀影像逐筆標註每次造訪，報告各類別召回率、已絕育個體之誤捕率與零證據比例。由於本場域「一律判定已絕育」即可達約八成正確率，整體正確率僅與此多數類基準線並列呈現。</w:t>
      </w:r>
      <w:r>
        <w:rPr>
          <w:rFonts w:eastAsia="新細明體"/>
          <w:b/>
        </w:rPr>
        <w:t>系統層</w:t>
      </w:r>
      <w:r>
        <w:rPr>
          <w:rFonts w:eastAsia="新細明體"/>
        </w:rPr>
        <w:t>：幀間隔與上傳成功率。</w:t>
      </w:r>
    </w:p>
    <w:p>
      <w:pPr>
        <w:pStyle w:val="1"/>
      </w:pPr>
      <w:r>
        <w:rPr>
          <w:rFonts w:eastAsia="新細明體"/>
          <w:b/>
          <w:sz w:val="24"/>
        </w:rPr>
        <w:t>預期成果</w:t>
      </w:r>
    </w:p>
    <w:p>
      <w:pPr>
        <w:pStyle w:val="Text"/>
      </w:pPr>
      <w:r>
        <w:rPr>
          <w:rFonts w:eastAsia="新細明體"/>
        </w:rPr>
        <w:t>圖 1 為本研究預期消除之失效情形。將相機由飼料碗旁移至正對籠內中段後，預期：(i) 每次造訪通過結構檢查之幀數增加，零證據比例明顯低於目前之 69%；(ii) 首度出現「已絕育」判定，使完整混淆矩陣與各類別召回率得以計算；(iii) 於棄權規則下，無證據之捕獲降為 0（目前 34 次捕獲中有 24 次）；(iv) 由新紀錄中擷取更多剪耳訓練樣本與負樣本（空籠影像）。期末報告將以相同指標比較各項調整前後之差異。</w:t>
      </w:r>
    </w:p>
    <w:p>
      <w:pPr>
        <w:pStyle w:val="Text"/>
        <w:spacing w:after="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926080" cy="1070363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visit3_zh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070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ext"/>
        <w:ind w:firstLine="0"/>
      </w:pPr>
      <w:r>
        <w:rPr>
          <w:rFonts w:eastAsia="新細明體"/>
          <w:sz w:val="18"/>
        </w:rPr>
        <w:t>圖 1　同一次實際造訪之三幀影像（6 秒觀察窗）。(a) 未通過結構檢查（耳朵數量）；(b) 攝於籠內中段，為唯一有效幀；(c) 貓於相機旁之飼料碗進食時，模型無任何偵測。</w:t>
      </w:r>
    </w:p>
    <w:p w14:paraId="5E710E3C" w14:textId="77777777" w:rsidR="00F66F7E" w:rsidRPr="005D61CD" w:rsidRDefault="00F66F7E">
      <w:pPr>
        <w:pStyle w:val="1"/>
        <w:numPr>
          <w:ilvl w:val="0"/>
          <w:numId w:val="0"/>
        </w:numPr>
        <w:rPr>
          <w:b/>
          <w:bCs/>
          <w:sz w:val="24"/>
          <w:szCs w:val="24"/>
        </w:rPr>
      </w:pPr>
      <w:r w:rsidRPr="005D61CD">
        <w:rPr>
          <w:b/>
          <w:bCs/>
          <w:sz w:val="24"/>
          <w:szCs w:val="24"/>
        </w:rPr>
        <w:t>參考文獻</w:t>
      </w:r>
    </w:p>
    <w:p>
      <w:pPr>
        <w:pStyle w:val="References"/>
      </w:pPr>
      <w:r>
        <w:rPr>
          <w:rFonts w:eastAsia="新細明體"/>
        </w:rPr>
        <w:t xml:space="preserve">Francis Ifaso Besala et al. Development of AI-based smart box trap system for capturing a harmful wild boar. </w:t>
      </w:r>
      <w:r>
        <w:rPr>
          <w:rFonts w:eastAsia="新細明體"/>
          <w:i/>
        </w:rPr>
        <w:t>ROBOMECH Journal</w:t>
      </w:r>
      <w:r>
        <w:rPr>
          <w:rFonts w:eastAsia="新細明體"/>
        </w:rPr>
        <w:t>, 12:4, 2025.</w:t>
      </w:r>
    </w:p>
    <w:p>
      <w:pPr>
        <w:pStyle w:val="References"/>
      </w:pPr>
      <w:r>
        <w:rPr>
          <w:rFonts w:eastAsia="新細明體"/>
        </w:rPr>
        <w:t xml:space="preserve">Gabriela C. Bicalho et al. Realities, perceptions, and strategies for implementation of an ethical population management program for dogs and cats on university campuses. </w:t>
      </w:r>
      <w:r>
        <w:rPr>
          <w:rFonts w:eastAsia="新細明體"/>
          <w:i/>
        </w:rPr>
        <w:t>Frontiers in Veterinary Science</w:t>
      </w:r>
      <w:r>
        <w:rPr>
          <w:rFonts w:eastAsia="新細明體"/>
        </w:rPr>
        <w:t>, 11:1408795, 2024.</w:t>
      </w:r>
    </w:p>
    <w:p>
      <w:pPr>
        <w:pStyle w:val="References"/>
      </w:pPr>
      <w:r>
        <w:rPr>
          <w:rFonts w:eastAsia="新細明體"/>
        </w:rPr>
        <w:t xml:space="preserve">Yi-Cheng Huang, Ting-Hsueh Chuang, and Yeong-Lin Lai. Classification of the trap-neuter-return surgery images of stray animals using Yolo-based deep learning integrated with a majority voting system. </w:t>
      </w:r>
      <w:r>
        <w:rPr>
          <w:rFonts w:eastAsia="新細明體"/>
          <w:i/>
        </w:rPr>
        <w:t>Applied Sciences</w:t>
      </w:r>
      <w:r>
        <w:rPr>
          <w:rFonts w:eastAsia="新細明體"/>
        </w:rPr>
        <w:t>, 11(18):8578, 2021.</w:t>
      </w:r>
    </w:p>
    <w:p>
      <w:pPr>
        <w:pStyle w:val="References"/>
      </w:pPr>
      <w:r>
        <w:rPr>
          <w:rFonts w:eastAsia="新細明體"/>
        </w:rPr>
        <w:t xml:space="preserve">Benoit Jacob et al. Quantization and training of neural networks for efficient integer-arithmetic-only inference. In </w:t>
      </w:r>
      <w:r>
        <w:rPr>
          <w:rFonts w:eastAsia="新細明體"/>
          <w:i/>
        </w:rPr>
        <w:t>CVPR</w:t>
      </w:r>
      <w:r>
        <w:rPr>
          <w:rFonts w:eastAsia="新細明體"/>
        </w:rPr>
        <w:t>, 2018.</w:t>
      </w:r>
    </w:p>
    <w:p>
      <w:pPr>
        <w:pStyle w:val="References"/>
      </w:pPr>
      <w:r>
        <w:rPr>
          <w:rFonts w:eastAsia="新細明體"/>
        </w:rPr>
        <w:t xml:space="preserve">Anis Koubaa et al. DeepBrain: Experimental evaluation of cloud-based computation offloading and edge computing in the Internet-of-Drones for deep learning applications. </w:t>
      </w:r>
      <w:r>
        <w:rPr>
          <w:rFonts w:eastAsia="新細明體"/>
          <w:i/>
        </w:rPr>
        <w:t>Sensors</w:t>
      </w:r>
      <w:r>
        <w:rPr>
          <w:rFonts w:eastAsia="新細明體"/>
        </w:rPr>
        <w:t>, 20(18):5240, 2020.</w:t>
      </w:r>
    </w:p>
    <w:p>
      <w:pPr>
        <w:pStyle w:val="References"/>
      </w:pPr>
      <w:r>
        <w:rPr>
          <w:rFonts w:eastAsia="新細明體"/>
        </w:rPr>
        <w:t xml:space="preserve">Scott R. Loss, Tom Will, and Peter P. Marra. The impact of free-ranging domestic cats on wildlife of the United States. </w:t>
      </w:r>
      <w:r>
        <w:rPr>
          <w:rFonts w:eastAsia="新細明體"/>
          <w:i/>
        </w:rPr>
        <w:t>Nature Communications</w:t>
      </w:r>
      <w:r>
        <w:rPr>
          <w:rFonts w:eastAsia="新細明體"/>
        </w:rPr>
        <w:t>, 4:1396, 2013.</w:t>
      </w:r>
    </w:p>
    <w:p>
      <w:pPr>
        <w:pStyle w:val="References"/>
      </w:pPr>
      <w:r>
        <w:rPr>
          <w:rFonts w:eastAsia="新細明體"/>
        </w:rPr>
        <w:t xml:space="preserve">Mohammad Mehdi Rastikerdar et al. WildFiT: Autonomous in-situ model adaptation for resource-constrained IoT systems. </w:t>
      </w:r>
      <w:r>
        <w:rPr>
          <w:rFonts w:eastAsia="新細明體"/>
          <w:i/>
        </w:rPr>
        <w:t>arXiv:2409.07796</w:t>
      </w:r>
      <w:r>
        <w:rPr>
          <w:rFonts w:eastAsia="新細明體"/>
        </w:rPr>
        <w:t>, 2024.</w:t>
      </w:r>
    </w:p>
    <w:p>
      <w:pPr>
        <w:pStyle w:val="References"/>
      </w:pPr>
      <w:r>
        <w:rPr>
          <w:rFonts w:eastAsia="新細明體"/>
        </w:rPr>
        <w:t xml:space="preserve">Lauren M. Smith et al. The effectiveness of dog population management: A systematic review. </w:t>
      </w:r>
      <w:r>
        <w:rPr>
          <w:rFonts w:eastAsia="新細明體"/>
          <w:i/>
        </w:rPr>
        <w:t>Animals</w:t>
      </w:r>
      <w:r>
        <w:rPr>
          <w:rFonts w:eastAsia="新細明體"/>
        </w:rPr>
        <w:t>, 9(12):1020, 2019.</w:t>
      </w:r>
    </w:p>
    <w:p>
      <w:pPr>
        <w:pStyle w:val="References"/>
      </w:pPr>
      <w:r>
        <w:rPr>
          <w:rFonts w:eastAsia="新細明體"/>
        </w:rPr>
        <w:t xml:space="preserve">Chien-Yao Wang, Alexey Bochkovskiy, and Hong-Yuan Mark Liao. YOLOv7: Trainable bag-of-freebies sets new state-of-the-art for real-time object detectors. In </w:t>
      </w:r>
      <w:r>
        <w:rPr>
          <w:rFonts w:eastAsia="新細明體"/>
          <w:i/>
        </w:rPr>
        <w:t>CVPR</w:t>
      </w:r>
      <w:r>
        <w:rPr>
          <w:rFonts w:eastAsia="新細明體"/>
        </w:rPr>
        <w:t>, 2023.</w:t>
      </w:r>
    </w:p>
    <w:p>
      <w:pPr>
        <w:pStyle w:val="References"/>
      </w:pPr>
      <w:r>
        <w:rPr>
          <w:rFonts w:eastAsia="新細明體"/>
        </w:rPr>
        <w:t xml:space="preserve">Tzu-Ying Yan and Kendy Tzu-yun Teng. Trends in animal shelter management, adoption, and animal death in Taiwan from 2012 to 2020. </w:t>
      </w:r>
      <w:r>
        <w:rPr>
          <w:rFonts w:eastAsia="新細明體"/>
          <w:i/>
        </w:rPr>
        <w:t>Animals</w:t>
      </w:r>
      <w:r>
        <w:rPr>
          <w:rFonts w:eastAsia="新細明體"/>
        </w:rPr>
        <w:t>, 13(9):1451, 2023.</w:t>
      </w:r>
    </w:p>
    <w:p>
      <w:pPr>
        <w:pStyle w:val="References"/>
      </w:pPr>
      <w:r>
        <w:rPr>
          <w:rFonts w:eastAsia="新細明體"/>
        </w:rPr>
        <w:t xml:space="preserve">Yian Zhao et al. DETRs beat YOLOs on real-time object detection. In </w:t>
      </w:r>
      <w:r>
        <w:rPr>
          <w:rFonts w:eastAsia="新細明體"/>
          <w:i/>
        </w:rPr>
        <w:t>CVPR</w:t>
      </w:r>
      <w:r>
        <w:rPr>
          <w:rFonts w:eastAsia="新細明體"/>
        </w:rPr>
        <w:t>, 2024.</w:t>
      </w:r>
    </w:p>
    <w:sectPr w:rsidR="00F66F7E" w:rsidSect="005D61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902" w:bottom="1622" w:left="1440" w:header="431" w:footer="431" w:gutter="0"/>
      <w:cols w:num="2" w:space="5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